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9E" w:rsidRPr="00903696" w:rsidRDefault="00D92858" w:rsidP="005E6B10">
      <w:pPr>
        <w:spacing w:after="240"/>
        <w:ind w:firstLine="426"/>
        <w:jc w:val="center"/>
        <w:rPr>
          <w:b/>
          <w:bCs/>
          <w:color w:val="000000"/>
          <w:shd w:val="clear" w:color="auto" w:fill="FFFFFF"/>
        </w:rPr>
      </w:pPr>
      <w:bookmarkStart w:id="0" w:name="_GoBack"/>
      <w:bookmarkEnd w:id="0"/>
      <w:r w:rsidRPr="00903696">
        <w:rPr>
          <w:b/>
          <w:bCs/>
          <w:color w:val="000000"/>
          <w:shd w:val="clear" w:color="auto" w:fill="FFFFFF"/>
        </w:rPr>
        <w:t>Высокочастотный сдвиг и расширение спектра ТГц</w:t>
      </w:r>
      <w:r w:rsidR="00396B7E" w:rsidRPr="00903696">
        <w:rPr>
          <w:b/>
          <w:bCs/>
          <w:color w:val="000000"/>
          <w:shd w:val="clear" w:color="auto" w:fill="FFFFFF"/>
        </w:rPr>
        <w:t xml:space="preserve"> излучения до 12</w:t>
      </w:r>
      <w:r w:rsidRPr="00903696">
        <w:rPr>
          <w:b/>
          <w:bCs/>
          <w:color w:val="000000"/>
          <w:shd w:val="clear" w:color="auto" w:fill="FFFFFF"/>
        </w:rPr>
        <w:t xml:space="preserve"> ТГц при накачке органических кристаллов </w:t>
      </w:r>
      <w:r w:rsidR="004C58A4" w:rsidRPr="00903696">
        <w:rPr>
          <w:b/>
          <w:bCs/>
          <w:color w:val="000000"/>
          <w:shd w:val="clear" w:color="auto" w:fill="FFFFFF"/>
          <w:lang w:val="en-US"/>
        </w:rPr>
        <w:t>BNA</w:t>
      </w:r>
      <w:r w:rsidR="004C58A4" w:rsidRPr="00903696">
        <w:rPr>
          <w:b/>
          <w:bCs/>
          <w:color w:val="000000"/>
          <w:shd w:val="clear" w:color="auto" w:fill="FFFFFF"/>
        </w:rPr>
        <w:t xml:space="preserve"> </w:t>
      </w:r>
      <w:r w:rsidRPr="00903696">
        <w:rPr>
          <w:b/>
          <w:bCs/>
          <w:color w:val="000000"/>
          <w:shd w:val="clear" w:color="auto" w:fill="FFFFFF"/>
        </w:rPr>
        <w:t xml:space="preserve">и </w:t>
      </w:r>
      <w:r w:rsidR="004C58A4" w:rsidRPr="00903696">
        <w:rPr>
          <w:b/>
          <w:bCs/>
          <w:color w:val="000000"/>
          <w:shd w:val="clear" w:color="auto" w:fill="FFFFFF"/>
          <w:lang w:val="en-US"/>
        </w:rPr>
        <w:t>DAST</w:t>
      </w:r>
      <w:r w:rsidR="004C58A4" w:rsidRPr="00903696">
        <w:rPr>
          <w:b/>
          <w:bCs/>
          <w:color w:val="000000"/>
          <w:shd w:val="clear" w:color="auto" w:fill="FFFFFF"/>
        </w:rPr>
        <w:t xml:space="preserve"> </w:t>
      </w:r>
      <w:r w:rsidRPr="00903696">
        <w:rPr>
          <w:b/>
          <w:bCs/>
          <w:color w:val="000000"/>
          <w:shd w:val="clear" w:color="auto" w:fill="FFFFFF"/>
        </w:rPr>
        <w:t xml:space="preserve">мощным фемтосекундным малопериодным излучением лазерной системы </w:t>
      </w:r>
      <w:r w:rsidR="008D61A8" w:rsidRPr="00903696">
        <w:rPr>
          <w:b/>
          <w:bCs/>
          <w:color w:val="000000"/>
          <w:shd w:val="clear" w:color="auto" w:fill="FFFFFF"/>
        </w:rPr>
        <w:t xml:space="preserve">на кристалле </w:t>
      </w:r>
      <w:r w:rsidRPr="00903696">
        <w:rPr>
          <w:b/>
          <w:bCs/>
          <w:color w:val="000000"/>
          <w:shd w:val="clear" w:color="auto" w:fill="FFFFFF"/>
        </w:rPr>
        <w:t>Cr:Forsterite</w:t>
      </w:r>
    </w:p>
    <w:p w:rsidR="00BC53DF" w:rsidRPr="00700C28" w:rsidRDefault="00D92858" w:rsidP="00BC53DF">
      <w:pPr>
        <w:ind w:firstLine="426"/>
        <w:jc w:val="center"/>
        <w:rPr>
          <w:rStyle w:val="a3"/>
          <w:b/>
          <w:bCs/>
          <w:color w:val="000000"/>
          <w:shd w:val="clear" w:color="auto" w:fill="FFFFFF"/>
        </w:rPr>
      </w:pPr>
      <w:r w:rsidRPr="00D92858">
        <w:rPr>
          <w:rStyle w:val="a3"/>
          <w:b/>
          <w:bCs/>
          <w:color w:val="000000"/>
          <w:shd w:val="clear" w:color="auto" w:fill="FFFFFF"/>
        </w:rPr>
        <w:t>Шулындин П.А.</w:t>
      </w:r>
      <w:r w:rsidR="00BC53DF" w:rsidRPr="00D92858">
        <w:rPr>
          <w:rStyle w:val="a3"/>
          <w:b/>
          <w:bCs/>
          <w:color w:val="000000"/>
          <w:shd w:val="clear" w:color="auto" w:fill="FFFFFF"/>
          <w:vertAlign w:val="superscript"/>
        </w:rPr>
        <w:t>1</w:t>
      </w:r>
      <w:r w:rsidR="00BC53DF" w:rsidRPr="00D92858">
        <w:rPr>
          <w:rStyle w:val="a3"/>
          <w:b/>
          <w:bCs/>
          <w:i w:val="0"/>
          <w:color w:val="000000"/>
          <w:shd w:val="clear" w:color="auto" w:fill="FFFFFF"/>
        </w:rPr>
        <w:t>,</w:t>
      </w:r>
      <w:r w:rsidR="00BC53DF" w:rsidRPr="00D92858">
        <w:rPr>
          <w:b/>
          <w:i/>
        </w:rPr>
        <w:t xml:space="preserve"> </w:t>
      </w:r>
      <w:r w:rsidRPr="00D92858">
        <w:rPr>
          <w:b/>
          <w:i/>
        </w:rPr>
        <w:t>Румянцев Б.В</w:t>
      </w:r>
      <w:r w:rsidR="005B508B">
        <w:rPr>
          <w:b/>
          <w:i/>
        </w:rPr>
        <w:t>.</w:t>
      </w:r>
      <w:r w:rsidR="00BC53DF" w:rsidRPr="00D92858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</w:t>
      </w:r>
      <w:r w:rsidR="00BC53DF" w:rsidRPr="00700C28">
        <w:rPr>
          <w:rStyle w:val="a3"/>
          <w:b/>
          <w:bCs/>
          <w:color w:val="000000"/>
          <w:shd w:val="clear" w:color="auto" w:fill="FFFFFF"/>
          <w:vertAlign w:val="superscript"/>
        </w:rPr>
        <w:t>2</w:t>
      </w:r>
      <w:r w:rsidRPr="00D92858">
        <w:rPr>
          <w:rStyle w:val="a3"/>
          <w:b/>
          <w:bCs/>
          <w:i w:val="0"/>
          <w:color w:val="000000"/>
          <w:shd w:val="clear" w:color="auto" w:fill="FFFFFF"/>
        </w:rPr>
        <w:t>,</w:t>
      </w:r>
      <w:r w:rsidRPr="00D92858">
        <w:rPr>
          <w:rStyle w:val="a3"/>
          <w:b/>
          <w:bCs/>
          <w:color w:val="000000"/>
          <w:shd w:val="clear" w:color="auto" w:fill="FFFFFF"/>
        </w:rPr>
        <w:t xml:space="preserve"> Жидовцев </w:t>
      </w:r>
      <w:r w:rsidR="00700C28">
        <w:rPr>
          <w:rStyle w:val="a3"/>
          <w:b/>
          <w:bCs/>
          <w:color w:val="000000"/>
          <w:shd w:val="clear" w:color="auto" w:fill="FFFFFF"/>
        </w:rPr>
        <w:t>Н.А.</w:t>
      </w:r>
      <w:r w:rsidR="00700C28">
        <w:rPr>
          <w:rStyle w:val="a3"/>
          <w:b/>
          <w:bCs/>
          <w:color w:val="000000"/>
          <w:shd w:val="clear" w:color="auto" w:fill="FFFFFF"/>
          <w:vertAlign w:val="superscript"/>
        </w:rPr>
        <w:t>2</w:t>
      </w:r>
    </w:p>
    <w:p w:rsidR="00B60661" w:rsidRPr="005B508B" w:rsidRDefault="00BC53DF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700C28">
        <w:rPr>
          <w:rStyle w:val="a3"/>
          <w:bCs/>
          <w:color w:val="000000"/>
          <w:shd w:val="clear" w:color="auto" w:fill="FFFFFF"/>
          <w:vertAlign w:val="superscript"/>
        </w:rPr>
        <w:t>1</w:t>
      </w:r>
      <w:r w:rsidR="003A7D50">
        <w:rPr>
          <w:rStyle w:val="a3"/>
          <w:color w:val="000000"/>
          <w:shd w:val="clear" w:color="auto" w:fill="FFFFFF"/>
        </w:rPr>
        <w:t>с</w:t>
      </w:r>
      <w:r w:rsidRPr="00BC53DF">
        <w:rPr>
          <w:rStyle w:val="a3"/>
          <w:color w:val="000000"/>
          <w:shd w:val="clear" w:color="auto" w:fill="FFFFFF"/>
        </w:rPr>
        <w:t>тудент,</w:t>
      </w:r>
      <w:r w:rsidRPr="00BC53DF">
        <w:rPr>
          <w:i/>
          <w:color w:val="000000"/>
          <w:shd w:val="clear" w:color="auto" w:fill="FFFFFF"/>
        </w:rPr>
        <w:t xml:space="preserve"> </w:t>
      </w:r>
      <w:r w:rsidRPr="00700C28">
        <w:rPr>
          <w:rStyle w:val="a3"/>
          <w:bCs/>
          <w:color w:val="000000"/>
          <w:shd w:val="clear" w:color="auto" w:fill="FFFFFF"/>
          <w:vertAlign w:val="superscript"/>
        </w:rPr>
        <w:t>2</w:t>
      </w:r>
      <w:r w:rsidR="003A7D50">
        <w:rPr>
          <w:i/>
          <w:color w:val="000000"/>
          <w:shd w:val="clear" w:color="auto" w:fill="FFFFFF"/>
        </w:rPr>
        <w:t>аспирант</w:t>
      </w:r>
    </w:p>
    <w:p w:rsidR="003C665C" w:rsidRDefault="00145725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 w:rsidRPr="00145725">
        <w:rPr>
          <w:rStyle w:val="a3"/>
          <w:color w:val="000000"/>
          <w:shd w:val="clear" w:color="auto" w:fill="FFFFFF"/>
        </w:rPr>
        <w:t>Московский государственный университет имени М.В.</w:t>
      </w:r>
      <w:r w:rsidR="00700C28">
        <w:rPr>
          <w:rStyle w:val="a3"/>
          <w:color w:val="000000"/>
          <w:shd w:val="clear" w:color="auto" w:fill="FFFFFF"/>
        </w:rPr>
        <w:t xml:space="preserve"> </w:t>
      </w:r>
      <w:r w:rsidRPr="00145725">
        <w:rPr>
          <w:rStyle w:val="a3"/>
          <w:color w:val="000000"/>
          <w:shd w:val="clear" w:color="auto" w:fill="FFFFFF"/>
        </w:rPr>
        <w:t>Ломоносова,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Pr="00145725">
        <w:rPr>
          <w:rStyle w:val="a3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3"/>
          <w:color w:val="000000"/>
          <w:shd w:val="clear" w:color="auto" w:fill="FFFFFF"/>
        </w:rPr>
        <w:t>E–mail</w:t>
      </w:r>
      <w:r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r w:rsidR="00700C28" w:rsidRPr="00700C28">
        <w:rPr>
          <w:rStyle w:val="a3"/>
          <w:color w:val="000000"/>
          <w:shd w:val="clear" w:color="auto" w:fill="FFFFFF"/>
          <w:lang w:val="en-US"/>
        </w:rPr>
        <w:t>shulyndin</w:t>
      </w:r>
      <w:r w:rsidR="00700C28" w:rsidRPr="00700C28">
        <w:rPr>
          <w:rStyle w:val="a3"/>
          <w:color w:val="000000"/>
          <w:shd w:val="clear" w:color="auto" w:fill="FFFFFF"/>
        </w:rPr>
        <w:t>.</w:t>
      </w:r>
      <w:r w:rsidR="00700C28" w:rsidRPr="00700C28">
        <w:rPr>
          <w:rStyle w:val="a3"/>
          <w:color w:val="000000"/>
          <w:shd w:val="clear" w:color="auto" w:fill="FFFFFF"/>
          <w:lang w:val="en-US"/>
        </w:rPr>
        <w:t>pa</w:t>
      </w:r>
      <w:r w:rsidR="00700C28" w:rsidRPr="00700C28">
        <w:rPr>
          <w:rStyle w:val="a3"/>
          <w:color w:val="000000"/>
          <w:shd w:val="clear" w:color="auto" w:fill="FFFFFF"/>
        </w:rPr>
        <w:t>21@</w:t>
      </w:r>
      <w:r w:rsidR="00700C28" w:rsidRPr="00700C28">
        <w:rPr>
          <w:rStyle w:val="a3"/>
          <w:color w:val="000000"/>
          <w:shd w:val="clear" w:color="auto" w:fill="FFFFFF"/>
          <w:lang w:val="en-US"/>
        </w:rPr>
        <w:t>physics</w:t>
      </w:r>
      <w:r w:rsidR="00700C28" w:rsidRPr="00700C28">
        <w:rPr>
          <w:rStyle w:val="a3"/>
          <w:color w:val="000000"/>
          <w:shd w:val="clear" w:color="auto" w:fill="FFFFFF"/>
        </w:rPr>
        <w:t>.</w:t>
      </w:r>
      <w:r w:rsidR="00700C28" w:rsidRPr="00700C28">
        <w:rPr>
          <w:rStyle w:val="a3"/>
          <w:color w:val="000000"/>
          <w:shd w:val="clear" w:color="auto" w:fill="FFFFFF"/>
          <w:lang w:val="en-US"/>
        </w:rPr>
        <w:t>msu</w:t>
      </w:r>
      <w:r w:rsidR="00700C28" w:rsidRPr="00700C28">
        <w:rPr>
          <w:rStyle w:val="a3"/>
          <w:color w:val="000000"/>
          <w:shd w:val="clear" w:color="auto" w:fill="FFFFFF"/>
        </w:rPr>
        <w:t>.</w:t>
      </w:r>
      <w:r w:rsidR="00700C28" w:rsidRPr="00700C28">
        <w:rPr>
          <w:rStyle w:val="a3"/>
          <w:color w:val="000000"/>
          <w:shd w:val="clear" w:color="auto" w:fill="FFFFFF"/>
          <w:lang w:val="en-US"/>
        </w:rPr>
        <w:t>ru</w:t>
      </w:r>
    </w:p>
    <w:p w:rsidR="001C65A7" w:rsidRDefault="00F05403" w:rsidP="00EF5620">
      <w:pPr>
        <w:spacing w:after="240"/>
        <w:ind w:firstLine="397"/>
        <w:jc w:val="both"/>
      </w:pPr>
      <w:r>
        <w:t xml:space="preserve">В рамках </w:t>
      </w:r>
      <w:r w:rsidR="008D61A8">
        <w:t>данной</w:t>
      </w:r>
      <w:r>
        <w:t xml:space="preserve"> работы о</w:t>
      </w:r>
      <w:r w:rsidR="00700C28">
        <w:t>существлена генерация терагерцевого</w:t>
      </w:r>
      <w:r>
        <w:t xml:space="preserve"> (ТГц)</w:t>
      </w:r>
      <w:r w:rsidR="00700C28">
        <w:t xml:space="preserve"> излучения при накачке кристаллов BNA и </w:t>
      </w:r>
      <w:r w:rsidR="00700C28">
        <w:rPr>
          <w:lang w:val="en-US"/>
        </w:rPr>
        <w:t>DAST</w:t>
      </w:r>
      <w:r w:rsidR="00700C28" w:rsidRPr="00700C28">
        <w:t xml:space="preserve"> </w:t>
      </w:r>
      <w:r w:rsidR="00DD71B4">
        <w:t xml:space="preserve">мощным </w:t>
      </w:r>
      <w:r w:rsidR="00700C28">
        <w:t>фемтосекундным лазерным излучением системы на кристалле Cr:Forsterite</w:t>
      </w:r>
      <w:r w:rsidR="00DA4924">
        <w:t xml:space="preserve"> (</w:t>
      </w:r>
      <w:r w:rsidR="00DA4924">
        <w:rPr>
          <w:lang w:val="en-US"/>
        </w:rPr>
        <w:t>Cr</w:t>
      </w:r>
      <w:r w:rsidR="00DA4924" w:rsidRPr="00DA4924">
        <w:t>:</w:t>
      </w:r>
      <w:r w:rsidR="00DA4924">
        <w:rPr>
          <w:lang w:val="en-US"/>
        </w:rPr>
        <w:t>F</w:t>
      </w:r>
      <w:r w:rsidR="00DA4924" w:rsidRPr="00DA4924">
        <w:t>)</w:t>
      </w:r>
      <w:r w:rsidR="00DD71B4">
        <w:t xml:space="preserve"> с длиной волны 1,24 мкм</w:t>
      </w:r>
      <w:r w:rsidR="00700C28" w:rsidRPr="00700C28">
        <w:rPr>
          <w:b/>
        </w:rPr>
        <w:t xml:space="preserve">. </w:t>
      </w:r>
      <w:r w:rsidR="00700C28" w:rsidRPr="00483552">
        <w:t xml:space="preserve">Установлено, что уменьшение длительности импульса накачки со 100 фс </w:t>
      </w:r>
      <w:r w:rsidR="00E02503">
        <w:t>(</w:t>
      </w:r>
      <w:r w:rsidR="00E02503">
        <w:rPr>
          <w:lang w:val="en-US"/>
        </w:rPr>
        <w:t>FWHM</w:t>
      </w:r>
      <w:r w:rsidR="00E02503" w:rsidRPr="00E02503">
        <w:t xml:space="preserve">, 24 </w:t>
      </w:r>
      <w:r w:rsidR="00E02503">
        <w:t xml:space="preserve">цикла поля) </w:t>
      </w:r>
      <w:r w:rsidR="00700C28" w:rsidRPr="00483552">
        <w:t xml:space="preserve">до 35 фс </w:t>
      </w:r>
      <w:r w:rsidR="00E02503">
        <w:t>(</w:t>
      </w:r>
      <w:r w:rsidR="00E02503">
        <w:rPr>
          <w:lang w:val="en-US"/>
        </w:rPr>
        <w:t>FWHM</w:t>
      </w:r>
      <w:r w:rsidR="00E02503">
        <w:t>, 9</w:t>
      </w:r>
      <w:r w:rsidR="00E02503" w:rsidRPr="00E02503">
        <w:t xml:space="preserve"> </w:t>
      </w:r>
      <w:r w:rsidR="00E02503">
        <w:t xml:space="preserve">циклов поля) </w:t>
      </w:r>
      <w:r w:rsidR="00700C28" w:rsidRPr="00483552">
        <w:t xml:space="preserve">приводит к генерации высокочастотных составляющих вплоть до 12 ТГц. Моделирование процесса генерации </w:t>
      </w:r>
      <w:r>
        <w:t>ТГц</w:t>
      </w:r>
      <w:r w:rsidR="00700C28" w:rsidRPr="00483552">
        <w:t xml:space="preserve"> излучения с учетом дисперсионных свойств кристаллов позволило корректно описать измеренные спектры. Представленная схема может рассматриваться как альтернатива </w:t>
      </w:r>
      <w:r w:rsidR="008D61A8">
        <w:t xml:space="preserve">более распространенным </w:t>
      </w:r>
      <w:r w:rsidR="00700C28" w:rsidRPr="00483552">
        <w:t xml:space="preserve">источникам на основе </w:t>
      </w:r>
      <w:r w:rsidR="008D61A8">
        <w:t xml:space="preserve">кристалла </w:t>
      </w:r>
      <w:r w:rsidR="00700C28" w:rsidRPr="00483552">
        <w:t>Li:NbO</w:t>
      </w:r>
      <w:r w:rsidR="00700C28" w:rsidRPr="00483552">
        <w:rPr>
          <w:vertAlign w:val="subscript"/>
        </w:rPr>
        <w:t>3</w:t>
      </w:r>
      <w:r w:rsidR="00700C28" w:rsidRPr="00483552">
        <w:t xml:space="preserve"> или органическим кристаллам</w:t>
      </w:r>
      <w:r w:rsidR="00483552" w:rsidRPr="00483552">
        <w:t xml:space="preserve"> </w:t>
      </w:r>
      <w:r w:rsidR="008D61A8">
        <w:t>с накачкой</w:t>
      </w:r>
      <w:r w:rsidR="00700C28" w:rsidRPr="00483552">
        <w:t xml:space="preserve"> </w:t>
      </w:r>
      <w:r w:rsidR="0026366B">
        <w:t>излучением лазерных систем</w:t>
      </w:r>
      <w:r w:rsidR="00700C28" w:rsidRPr="00483552">
        <w:t xml:space="preserve"> </w:t>
      </w:r>
      <w:r w:rsidR="008D61A8">
        <w:t xml:space="preserve">на кристалле </w:t>
      </w:r>
      <w:r w:rsidR="00700C28" w:rsidRPr="00483552">
        <w:t>Ti:Sapphire.</w:t>
      </w:r>
    </w:p>
    <w:p w:rsidR="009C1840" w:rsidRDefault="00C32E97" w:rsidP="00533712">
      <w:pPr>
        <w:ind w:firstLine="426"/>
        <w:jc w:val="center"/>
        <w:rPr>
          <w:b/>
        </w:rPr>
      </w:pPr>
      <w:r>
        <w:rPr>
          <w:b/>
        </w:rPr>
        <w:t>Введение</w:t>
      </w:r>
    </w:p>
    <w:p w:rsidR="001C0828" w:rsidRDefault="00DD71B4" w:rsidP="00C32E97">
      <w:pPr>
        <w:spacing w:after="240"/>
        <w:ind w:firstLine="397"/>
        <w:jc w:val="both"/>
      </w:pPr>
      <w:r>
        <w:t xml:space="preserve">В настоящее время генерация мощного </w:t>
      </w:r>
      <w:r w:rsidR="00F05403">
        <w:t>ТГц</w:t>
      </w:r>
      <w:r w:rsidR="0046103C">
        <w:t xml:space="preserve"> излучения (0,</w:t>
      </w:r>
      <w:r>
        <w:t>1–15 ТГц) является объектом активных научных исследований в связи с развитием нелинейной оптики в ТГц диапазоне</w:t>
      </w:r>
      <w:r w:rsidRPr="00DD71B4">
        <w:t xml:space="preserve">. Предложены различные источники мощного </w:t>
      </w:r>
      <w:r>
        <w:t>ТГц</w:t>
      </w:r>
      <w:r w:rsidRPr="00DD71B4">
        <w:t xml:space="preserve"> излу</w:t>
      </w:r>
      <w:r w:rsidR="00203286">
        <w:t>чения и способы его генерации [3</w:t>
      </w:r>
      <w:r w:rsidRPr="00DD71B4">
        <w:t xml:space="preserve">] в связи с большим разнообразием его применений. Особый интерес представляет </w:t>
      </w:r>
      <w:r>
        <w:t>метод</w:t>
      </w:r>
      <w:r w:rsidRPr="00DD71B4">
        <w:t xml:space="preserve"> генерации на основе оптического выпрямления в нелинейных органических кристаллах благодаря </w:t>
      </w:r>
      <w:r>
        <w:t xml:space="preserve">их </w:t>
      </w:r>
      <w:r w:rsidRPr="00DD71B4">
        <w:t>высокой эффектив</w:t>
      </w:r>
      <w:r>
        <w:t>ности преобразования до 3% [2].</w:t>
      </w:r>
    </w:p>
    <w:p w:rsidR="007C1532" w:rsidRPr="007C1532" w:rsidRDefault="00C32E97" w:rsidP="007C1532">
      <w:pPr>
        <w:ind w:firstLine="426"/>
        <w:jc w:val="center"/>
        <w:rPr>
          <w:b/>
        </w:rPr>
      </w:pPr>
      <w:r>
        <w:rPr>
          <w:b/>
        </w:rPr>
        <w:t>Экспериментальная установка</w:t>
      </w:r>
    </w:p>
    <w:p w:rsidR="00A00B0F" w:rsidRDefault="001C0828" w:rsidP="00C32E97">
      <w:pPr>
        <w:spacing w:after="240"/>
        <w:ind w:firstLine="397"/>
        <w:jc w:val="both"/>
      </w:pPr>
      <w:r w:rsidRPr="001C0828">
        <w:t xml:space="preserve">Для накачки кристаллов использована лазерная система </w:t>
      </w:r>
      <w:r w:rsidR="00DA4924">
        <w:rPr>
          <w:lang w:val="en-US"/>
        </w:rPr>
        <w:t>Cr</w:t>
      </w:r>
      <w:r w:rsidR="00DA4924" w:rsidRPr="00DA4924">
        <w:t>:</w:t>
      </w:r>
      <w:r w:rsidR="00DA4924">
        <w:rPr>
          <w:lang w:val="en-US"/>
        </w:rPr>
        <w:t>F</w:t>
      </w:r>
      <w:r w:rsidRPr="001C0828">
        <w:t xml:space="preserve"> (длина волны </w:t>
      </w:r>
      <w:r w:rsidR="00A00B0F">
        <w:t>–</w:t>
      </w:r>
      <w:r w:rsidR="00DA4924" w:rsidRPr="00DA4924">
        <w:t xml:space="preserve"> </w:t>
      </w:r>
      <w:r w:rsidRPr="001C0828">
        <w:t xml:space="preserve">1,24 мкм, длительность импульса </w:t>
      </w:r>
      <w:r w:rsidR="00A00B0F">
        <w:t xml:space="preserve">по уровню </w:t>
      </w:r>
      <w:r w:rsidRPr="001C0828">
        <w:t xml:space="preserve">FWHM </w:t>
      </w:r>
      <w:r w:rsidR="00A00B0F">
        <w:t xml:space="preserve">– </w:t>
      </w:r>
      <w:r w:rsidRPr="001C0828">
        <w:t xml:space="preserve">35 фс, энергия импульса </w:t>
      </w:r>
      <w:r w:rsidR="00A00B0F">
        <w:t xml:space="preserve">– </w:t>
      </w:r>
      <w:r w:rsidR="00203286">
        <w:t>до 16 мДж) [4</w:t>
      </w:r>
      <w:r w:rsidRPr="001C0828">
        <w:t xml:space="preserve">]. </w:t>
      </w:r>
      <w:r w:rsidR="00A00B0F">
        <w:t>Для сокращения длительности импульса накачки проводилось уширение спектра излучения за счет эффекта фазовой самомодуляции при прохождении импульса через кювету, заполненную газовой средой</w:t>
      </w:r>
      <w:r w:rsidR="008D61A8">
        <w:t xml:space="preserve"> (</w:t>
      </w:r>
      <w:r w:rsidR="008D61A8">
        <w:rPr>
          <w:lang w:val="en-US"/>
        </w:rPr>
        <w:t>Ar</w:t>
      </w:r>
      <w:r w:rsidR="008D61A8" w:rsidRPr="008D61A8">
        <w:t>)</w:t>
      </w:r>
      <w:r w:rsidR="00A00B0F">
        <w:t>, а также последующей компенсации возникающего чирпа с использованием чирпирующих зеркал. Для получения спектра генерируемого ТГц излучения методом Фурье-спектроскопии использовалась регистрация автокорреляционной функции 1-го порядка (АКФ поля) в схеме интерферометра Майкельсона.</w:t>
      </w:r>
    </w:p>
    <w:p w:rsidR="009C1840" w:rsidRDefault="00C32E97" w:rsidP="00F05403">
      <w:pPr>
        <w:ind w:firstLine="426"/>
        <w:jc w:val="center"/>
        <w:rPr>
          <w:b/>
        </w:rPr>
      </w:pPr>
      <w:r>
        <w:rPr>
          <w:b/>
        </w:rPr>
        <w:t>Результаты и обсуждение</w:t>
      </w:r>
    </w:p>
    <w:p w:rsidR="003F156C" w:rsidRDefault="009C1840" w:rsidP="00C32E97">
      <w:pPr>
        <w:ind w:firstLine="397"/>
        <w:jc w:val="both"/>
      </w:pPr>
      <w:r w:rsidRPr="009C1840">
        <w:t xml:space="preserve">На рис.1 показаны спектры </w:t>
      </w:r>
      <w:r>
        <w:t>ТГц</w:t>
      </w:r>
      <w:r w:rsidRPr="009C1840">
        <w:t xml:space="preserve"> излучения, полученные </w:t>
      </w:r>
      <w:r>
        <w:t xml:space="preserve">при накачке </w:t>
      </w:r>
      <w:r w:rsidR="00A54E93">
        <w:t xml:space="preserve">кристаллов </w:t>
      </w:r>
      <w:r w:rsidR="00A54E93">
        <w:rPr>
          <w:lang w:val="en-US"/>
        </w:rPr>
        <w:t>BNA</w:t>
      </w:r>
      <w:r w:rsidR="00A54E93" w:rsidRPr="009C1840">
        <w:t xml:space="preserve"> и </w:t>
      </w:r>
      <w:r w:rsidR="00A54E93">
        <w:rPr>
          <w:lang w:val="en-US"/>
        </w:rPr>
        <w:t>DAST</w:t>
      </w:r>
      <w:r w:rsidR="00A54E93">
        <w:t xml:space="preserve"> </w:t>
      </w:r>
      <w:r w:rsidRPr="009C1840">
        <w:t>импульсами длительностью 100</w:t>
      </w:r>
      <w:r>
        <w:t xml:space="preserve"> фс</w:t>
      </w:r>
      <w:r w:rsidR="0046103C">
        <w:t xml:space="preserve"> и 35 фс. </w:t>
      </w:r>
      <w:r w:rsidR="002476D0">
        <w:t>Спектр</w:t>
      </w:r>
      <w:r w:rsidRPr="009C1840">
        <w:t xml:space="preserve"> </w:t>
      </w:r>
      <w:r>
        <w:t>ТГц</w:t>
      </w:r>
      <w:r w:rsidRPr="009C1840">
        <w:t xml:space="preserve"> излучен</w:t>
      </w:r>
      <w:r w:rsidR="002476D0">
        <w:t xml:space="preserve">ия, генерируемого в кристаллах при накачке </w:t>
      </w:r>
      <w:r w:rsidR="008D61A8">
        <w:t>импульсами с длительностью 35 фс, л</w:t>
      </w:r>
      <w:r w:rsidR="002476D0">
        <w:t xml:space="preserve">ежит в диапазонах частот </w:t>
      </w:r>
      <w:r w:rsidR="0046103C">
        <w:t>2,5–6,5 ТГц и 9–10,5 ТГц (BNA);</w:t>
      </w:r>
      <w:r w:rsidRPr="009C1840">
        <w:t xml:space="preserve"> 3,5–4,5 ТГц и 9</w:t>
      </w:r>
      <w:r>
        <w:t>–</w:t>
      </w:r>
      <w:r w:rsidRPr="009C1840">
        <w:t>1</w:t>
      </w:r>
      <w:r w:rsidR="008D61A8">
        <w:t>2</w:t>
      </w:r>
      <w:r w:rsidRPr="009C1840">
        <w:t xml:space="preserve"> ТГц (DAST), что свидетельствует о генерации высокочаст</w:t>
      </w:r>
      <w:r w:rsidR="002476D0">
        <w:t>отных спектральных составляющих, что не наблюдалось при н</w:t>
      </w:r>
      <w:r w:rsidRPr="009C1840">
        <w:t xml:space="preserve">акачки импульсами </w:t>
      </w:r>
      <w:r w:rsidR="00BA54D7">
        <w:t xml:space="preserve">длительностью </w:t>
      </w:r>
      <w:r w:rsidRPr="009C1840">
        <w:t>100 фс.</w:t>
      </w:r>
    </w:p>
    <w:p w:rsidR="00CB2A48" w:rsidRPr="00062556" w:rsidRDefault="001815D2" w:rsidP="00CB2A48">
      <w:pPr>
        <w:pStyle w:val="ab"/>
        <w:spacing w:line="360" w:lineRule="auto"/>
        <w:rPr>
          <w:szCs w:val="20"/>
          <w:lang w:val="en-US"/>
        </w:rPr>
      </w:pPr>
      <w:r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4873625</wp:posOffset>
                </wp:positionH>
                <wp:positionV relativeFrom="paragraph">
                  <wp:posOffset>200025</wp:posOffset>
                </wp:positionV>
                <wp:extent cx="610235" cy="263525"/>
                <wp:effectExtent l="13335" t="5715" r="508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BD6" w:rsidRPr="002C3BD6" w:rsidRDefault="002C3BD6" w:rsidP="002C3BD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3.75pt;margin-top:15.75pt;width:48.05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">
                <v:textbox>
                  <w:txbxContent>
                    <w:p w:rsidR="002C3BD6" w:rsidRPr="002C3BD6" w:rsidRDefault="002C3BD6" w:rsidP="002C3BD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DAST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2060575</wp:posOffset>
                </wp:positionH>
                <wp:positionV relativeFrom="paragraph">
                  <wp:posOffset>187960</wp:posOffset>
                </wp:positionV>
                <wp:extent cx="556260" cy="263525"/>
                <wp:effectExtent l="10160" t="12700" r="508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BD6" w:rsidRPr="002C3BD6" w:rsidRDefault="002C3BD6" w:rsidP="002C3BD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62.25pt;margin-top:14.8pt;width:43.8pt;height: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">
                <v:textbox>
                  <w:txbxContent>
                    <w:p w:rsidR="002C3BD6" w:rsidRPr="002C3BD6" w:rsidRDefault="002C3BD6" w:rsidP="002C3BD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BNA</w:t>
                      </w:r>
                    </w:p>
                  </w:txbxContent>
                </v:textbox>
              </v:shape>
            </w:pict>
          </mc:Fallback>
        </mc:AlternateContent>
      </w:r>
      <w:r w:rsidRPr="003F101C">
        <w:rPr>
          <w:noProof/>
          <w:szCs w:val="20"/>
        </w:rPr>
        <w:drawing>
          <wp:inline distT="0" distB="0" distL="0" distR="0">
            <wp:extent cx="2667000" cy="1981200"/>
            <wp:effectExtent l="0" t="0" r="0" b="0"/>
            <wp:docPr id="1" name="Рисунок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101C">
        <w:rPr>
          <w:noProof/>
          <w:szCs w:val="20"/>
        </w:rPr>
        <w:drawing>
          <wp:inline distT="0" distB="0" distL="0" distR="0">
            <wp:extent cx="2667000" cy="1935480"/>
            <wp:effectExtent l="0" t="0" r="0" b="0"/>
            <wp:docPr id="2" name="Рисунок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56C" w:rsidRPr="00492717" w:rsidRDefault="00492717" w:rsidP="0063550D">
      <w:pPr>
        <w:spacing w:after="240"/>
        <w:ind w:firstLine="426"/>
        <w:jc w:val="center"/>
        <w:rPr>
          <w:sz w:val="18"/>
        </w:rPr>
      </w:pPr>
      <w:r w:rsidRPr="003E101B">
        <w:rPr>
          <w:b/>
          <w:sz w:val="18"/>
        </w:rPr>
        <w:t>Рис.1.</w:t>
      </w:r>
      <w:r>
        <w:rPr>
          <w:sz w:val="18"/>
        </w:rPr>
        <w:t xml:space="preserve"> </w:t>
      </w:r>
      <w:r w:rsidRPr="00492717">
        <w:rPr>
          <w:sz w:val="18"/>
        </w:rPr>
        <w:t>Спектр</w:t>
      </w:r>
      <w:r w:rsidR="00A54E93">
        <w:rPr>
          <w:sz w:val="18"/>
        </w:rPr>
        <w:t>ы</w:t>
      </w:r>
      <w:r w:rsidRPr="00492717">
        <w:rPr>
          <w:sz w:val="18"/>
        </w:rPr>
        <w:t xml:space="preserve"> </w:t>
      </w:r>
      <w:r>
        <w:rPr>
          <w:sz w:val="18"/>
        </w:rPr>
        <w:t>ТГц</w:t>
      </w:r>
      <w:r w:rsidRPr="00492717">
        <w:rPr>
          <w:sz w:val="18"/>
        </w:rPr>
        <w:t xml:space="preserve"> излучения, генерируемого в кристалл</w:t>
      </w:r>
      <w:r>
        <w:rPr>
          <w:sz w:val="18"/>
        </w:rPr>
        <w:t>ах BNA (слева) и DAST (справа) при накачке</w:t>
      </w:r>
      <w:r w:rsidRPr="00492717">
        <w:rPr>
          <w:sz w:val="18"/>
        </w:rPr>
        <w:t xml:space="preserve"> (верхняя панель) импульсами 100 фс с </w:t>
      </w:r>
      <w:r w:rsidR="003E101B">
        <w:rPr>
          <w:sz w:val="18"/>
        </w:rPr>
        <w:t>плотностью энергии накачки</w:t>
      </w:r>
      <w:r w:rsidR="003F156C">
        <w:rPr>
          <w:sz w:val="18"/>
        </w:rPr>
        <w:t xml:space="preserve"> </w:t>
      </w:r>
      <w:r>
        <w:rPr>
          <w:sz w:val="18"/>
        </w:rPr>
        <w:t>15 мДж/см</w:t>
      </w:r>
      <w:r>
        <w:rPr>
          <w:sz w:val="18"/>
          <w:vertAlign w:val="superscript"/>
        </w:rPr>
        <w:t>2</w:t>
      </w:r>
      <w:r w:rsidRPr="00492717">
        <w:rPr>
          <w:sz w:val="18"/>
        </w:rPr>
        <w:t xml:space="preserve"> и (нижняя панель) импульсами 35 </w:t>
      </w:r>
      <w:r w:rsidR="003F156C">
        <w:rPr>
          <w:sz w:val="18"/>
        </w:rPr>
        <w:t xml:space="preserve">фс </w:t>
      </w:r>
      <w:r w:rsidR="003F156C" w:rsidRPr="00492717">
        <w:rPr>
          <w:sz w:val="18"/>
        </w:rPr>
        <w:t xml:space="preserve">с </w:t>
      </w:r>
      <w:r w:rsidR="003F156C">
        <w:rPr>
          <w:sz w:val="18"/>
        </w:rPr>
        <w:t>плотностью энергии накачки</w:t>
      </w:r>
      <w:r w:rsidRPr="00492717">
        <w:rPr>
          <w:sz w:val="18"/>
        </w:rPr>
        <w:t xml:space="preserve"> </w:t>
      </w:r>
      <w:r w:rsidR="003F156C">
        <w:rPr>
          <w:sz w:val="18"/>
        </w:rPr>
        <w:t>9,6 мДж/см</w:t>
      </w:r>
      <w:r w:rsidR="003F156C">
        <w:rPr>
          <w:sz w:val="18"/>
          <w:vertAlign w:val="superscript"/>
        </w:rPr>
        <w:t>2</w:t>
      </w:r>
      <w:r w:rsidR="0063550D">
        <w:rPr>
          <w:sz w:val="18"/>
        </w:rPr>
        <w:t xml:space="preserve">. </w:t>
      </w:r>
      <w:r w:rsidR="0063550D" w:rsidRPr="0063550D">
        <w:rPr>
          <w:sz w:val="18"/>
        </w:rPr>
        <w:t xml:space="preserve">Сплошной </w:t>
      </w:r>
      <w:r w:rsidR="009F7B00">
        <w:rPr>
          <w:sz w:val="18"/>
        </w:rPr>
        <w:t xml:space="preserve">жирной </w:t>
      </w:r>
      <w:r w:rsidR="007C1532">
        <w:rPr>
          <w:sz w:val="18"/>
        </w:rPr>
        <w:t>линией</w:t>
      </w:r>
      <w:r w:rsidR="0063550D" w:rsidRPr="0063550D">
        <w:rPr>
          <w:sz w:val="18"/>
        </w:rPr>
        <w:t xml:space="preserve"> показаны экспериментальные спектры, пунктиром – зависимость, полученная на основе численного моделирования, точками – </w:t>
      </w:r>
      <w:r w:rsidR="0063550D">
        <w:rPr>
          <w:sz w:val="18"/>
        </w:rPr>
        <w:t xml:space="preserve">рассчитанная аналитически </w:t>
      </w:r>
      <w:r w:rsidR="00203286">
        <w:rPr>
          <w:sz w:val="18"/>
        </w:rPr>
        <w:t>[1</w:t>
      </w:r>
      <w:r w:rsidR="0063550D" w:rsidRPr="0063550D">
        <w:rPr>
          <w:sz w:val="18"/>
        </w:rPr>
        <w:t>].</w:t>
      </w:r>
      <w:r w:rsidR="0063550D">
        <w:rPr>
          <w:sz w:val="18"/>
        </w:rPr>
        <w:t xml:space="preserve"> </w:t>
      </w:r>
      <w:r w:rsidR="00903696">
        <w:rPr>
          <w:sz w:val="18"/>
        </w:rPr>
        <w:t>Тонкой</w:t>
      </w:r>
      <w:r w:rsidR="0063550D">
        <w:rPr>
          <w:sz w:val="18"/>
        </w:rPr>
        <w:t xml:space="preserve"> линией обозначен</w:t>
      </w:r>
      <w:r w:rsidRPr="00492717">
        <w:rPr>
          <w:sz w:val="18"/>
        </w:rPr>
        <w:t xml:space="preserve"> </w:t>
      </w:r>
      <w:r w:rsidR="003F156C">
        <w:rPr>
          <w:sz w:val="18"/>
        </w:rPr>
        <w:t>шумовой спектр</w:t>
      </w:r>
      <w:r w:rsidRPr="00492717">
        <w:rPr>
          <w:sz w:val="18"/>
        </w:rPr>
        <w:t>.</w:t>
      </w:r>
    </w:p>
    <w:p w:rsidR="001C0828" w:rsidRPr="001366D7" w:rsidRDefault="003F156C" w:rsidP="00C32E97">
      <w:pPr>
        <w:ind w:firstLine="397"/>
        <w:jc w:val="both"/>
      </w:pPr>
      <w:r w:rsidRPr="003F156C">
        <w:t>Для описания экспериментальных данных проведено численное моделирование, основанное на решении уравнений Максвелл</w:t>
      </w:r>
      <w:r>
        <w:t xml:space="preserve">а методом конечных разностей </w:t>
      </w:r>
      <w:r w:rsidR="00203286">
        <w:t>(FDTD) [5</w:t>
      </w:r>
      <w:r w:rsidR="0041150D">
        <w:t xml:space="preserve">], аналитическим методом в приближении </w:t>
      </w:r>
      <w:r w:rsidR="00B36D3C">
        <w:t xml:space="preserve">слабопоглощающей в ТГц диапазоне среды </w:t>
      </w:r>
      <w:r w:rsidR="00B36D3C" w:rsidRPr="00B36D3C">
        <w:t xml:space="preserve">[7] </w:t>
      </w:r>
      <w:r w:rsidR="00B36D3C">
        <w:t xml:space="preserve">и </w:t>
      </w:r>
      <w:r w:rsidR="0041150D">
        <w:t xml:space="preserve">на </w:t>
      </w:r>
      <w:r w:rsidR="00B36D3C">
        <w:t>ан</w:t>
      </w:r>
      <w:r w:rsidRPr="003F156C">
        <w:t>алитических</w:t>
      </w:r>
      <w:r>
        <w:t xml:space="preserve"> расчетах </w:t>
      </w:r>
      <w:r w:rsidR="003B374E">
        <w:t xml:space="preserve">в приближениях </w:t>
      </w:r>
      <w:r w:rsidR="0000334D">
        <w:t>заданного поля, непоглощающей,</w:t>
      </w:r>
      <w:r w:rsidR="003B374E">
        <w:t xml:space="preserve"> не диспергирующей</w:t>
      </w:r>
      <w:r w:rsidR="0000334D">
        <w:t xml:space="preserve"> среды и при выполнении условия фазового синхронизма </w:t>
      </w:r>
      <w:r w:rsidR="00203286">
        <w:t>[1</w:t>
      </w:r>
      <w:r>
        <w:t>]. Максимальная эффективность</w:t>
      </w:r>
      <w:r w:rsidRPr="003F156C">
        <w:t xml:space="preserve"> генерации составил</w:t>
      </w:r>
      <w:r>
        <w:t>а</w:t>
      </w:r>
      <w:r w:rsidRPr="003F156C">
        <w:t xml:space="preserve"> 0,1% для </w:t>
      </w:r>
      <w:r>
        <w:t xml:space="preserve">кристалла </w:t>
      </w:r>
      <w:r>
        <w:rPr>
          <w:lang w:val="en-US"/>
        </w:rPr>
        <w:t>BNA</w:t>
      </w:r>
      <w:r w:rsidR="00396B7E">
        <w:t xml:space="preserve"> в</w:t>
      </w:r>
      <w:r w:rsidRPr="003F156C">
        <w:t xml:space="preserve"> режиме </w:t>
      </w:r>
      <w:r w:rsidR="003E101B">
        <w:t>без</w:t>
      </w:r>
      <w:r w:rsidR="00396B7E">
        <w:t xml:space="preserve"> насыщения </w:t>
      </w:r>
      <w:r w:rsidRPr="003F156C">
        <w:t>и</w:t>
      </w:r>
      <w:r w:rsidR="00396B7E">
        <w:t xml:space="preserve"> 2% для </w:t>
      </w:r>
      <w:r w:rsidR="00C81BF2">
        <w:t>кристалла</w:t>
      </w:r>
      <w:r w:rsidR="00396B7E">
        <w:t xml:space="preserve"> </w:t>
      </w:r>
      <w:r w:rsidR="00396B7E">
        <w:rPr>
          <w:lang w:val="en-US"/>
        </w:rPr>
        <w:t>DAST</w:t>
      </w:r>
      <w:r w:rsidR="00396B7E" w:rsidRPr="00396B7E">
        <w:t xml:space="preserve"> </w:t>
      </w:r>
      <w:r w:rsidR="00396B7E">
        <w:t xml:space="preserve">в режиме насыщения </w:t>
      </w:r>
      <w:r w:rsidRPr="003F156C">
        <w:t>[6]. Уменьшение длительности импульса накачки со 100</w:t>
      </w:r>
      <w:r w:rsidR="00396B7E">
        <w:t xml:space="preserve"> фс</w:t>
      </w:r>
      <w:r w:rsidRPr="003F156C">
        <w:t xml:space="preserve"> до 35 фс </w:t>
      </w:r>
      <w:r w:rsidR="00396B7E">
        <w:t>приводит к смещению</w:t>
      </w:r>
      <w:r w:rsidRPr="003F156C">
        <w:t xml:space="preserve"> спектр</w:t>
      </w:r>
      <w:r w:rsidR="00396B7E">
        <w:t>а</w:t>
      </w:r>
      <w:r w:rsidRPr="003F156C">
        <w:t xml:space="preserve"> </w:t>
      </w:r>
      <w:r w:rsidR="00396B7E">
        <w:t>ТГц</w:t>
      </w:r>
      <w:r w:rsidRPr="003F156C">
        <w:t xml:space="preserve"> излучения в сторону более высоких частот, что свидетельствует о генерации широкополосного </w:t>
      </w:r>
      <w:r w:rsidR="00396B7E">
        <w:t>ТГц</w:t>
      </w:r>
      <w:r w:rsidRPr="003F156C">
        <w:t xml:space="preserve"> излучения </w:t>
      </w:r>
      <w:r w:rsidR="003E101B">
        <w:t xml:space="preserve">вплоть </w:t>
      </w:r>
      <w:r w:rsidRPr="003F156C">
        <w:t>до 12 ТГц</w:t>
      </w:r>
      <w:r w:rsidR="001366D7">
        <w:t xml:space="preserve"> в кристалле </w:t>
      </w:r>
      <w:r w:rsidR="001366D7">
        <w:rPr>
          <w:lang w:val="en-US"/>
        </w:rPr>
        <w:t>DAST</w:t>
      </w:r>
      <w:r w:rsidR="001366D7" w:rsidRPr="001366D7">
        <w:t xml:space="preserve"> </w:t>
      </w:r>
      <w:r w:rsidR="001366D7">
        <w:t xml:space="preserve">и до 10,5 ТГц в кристалле </w:t>
      </w:r>
      <w:r w:rsidR="001366D7">
        <w:rPr>
          <w:lang w:val="en-US"/>
        </w:rPr>
        <w:t>BNA</w:t>
      </w:r>
      <w:r w:rsidRPr="003F156C">
        <w:t>.</w:t>
      </w:r>
    </w:p>
    <w:p w:rsidR="00C32E97" w:rsidRPr="00203286" w:rsidRDefault="00062556" w:rsidP="00203286">
      <w:pPr>
        <w:spacing w:after="240"/>
        <w:ind w:firstLine="397"/>
        <w:jc w:val="both"/>
        <w:rPr>
          <w:b/>
          <w:color w:val="000000"/>
          <w:shd w:val="clear" w:color="auto" w:fill="FFFFFF"/>
        </w:rPr>
      </w:pPr>
      <w:r w:rsidRPr="00062556">
        <w:t xml:space="preserve">Исследование выполнено при поддержке гранта </w:t>
      </w:r>
      <w:r w:rsidR="001366D7">
        <w:t>РНФ</w:t>
      </w:r>
      <w:r w:rsidRPr="00062556">
        <w:t xml:space="preserve"> #20-19-00148. Б.В. Румянцев </w:t>
      </w:r>
      <w:r w:rsidR="00190039">
        <w:t>и Н.А. Жидовцев являются стипендиатами</w:t>
      </w:r>
      <w:r w:rsidRPr="00062556">
        <w:t xml:space="preserve"> </w:t>
      </w:r>
      <w:r>
        <w:t>фонда развития теоретической физики и математики “БАЗИС”.</w:t>
      </w:r>
    </w:p>
    <w:p w:rsidR="00203286" w:rsidRPr="00203286" w:rsidRDefault="00203286" w:rsidP="00203286">
      <w:pPr>
        <w:ind w:firstLine="426"/>
        <w:jc w:val="center"/>
        <w:rPr>
          <w:b/>
          <w:lang w:val="en-US"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C32E97" w:rsidRPr="00C32E97" w:rsidRDefault="00C32E97" w:rsidP="00C32E97">
      <w:pPr>
        <w:numPr>
          <w:ilvl w:val="0"/>
          <w:numId w:val="11"/>
        </w:numPr>
        <w:rPr>
          <w:szCs w:val="20"/>
          <w:lang w:val="en-US"/>
        </w:rPr>
      </w:pPr>
      <w:r w:rsidRPr="00C32E97">
        <w:rPr>
          <w:szCs w:val="20"/>
          <w:lang w:val="en-US"/>
        </w:rPr>
        <w:t>Hattori T., Takeuchi K. Simulation study on cascaded terahertz pulse generation in electro-optic crystals //Optics express. – 2007. – Т. 15. – №. 13. – С. 8076-8093.</w:t>
      </w:r>
    </w:p>
    <w:p w:rsidR="00203286" w:rsidRPr="00203286" w:rsidRDefault="00203286" w:rsidP="00203286">
      <w:pPr>
        <w:numPr>
          <w:ilvl w:val="0"/>
          <w:numId w:val="11"/>
        </w:numPr>
        <w:rPr>
          <w:szCs w:val="20"/>
          <w:lang w:val="en-US"/>
        </w:rPr>
      </w:pPr>
      <w:r w:rsidRPr="00203286">
        <w:rPr>
          <w:szCs w:val="20"/>
          <w:lang w:val="en-US"/>
        </w:rPr>
        <w:t>Kim S. et.al. (2021). Highly Nonlinear Optical Organic Crystals for Efficient Terahertz Wave Generation, Detection, and Applications. Advanced Optical Materials, 9(23), 2101019.</w:t>
      </w:r>
    </w:p>
    <w:p w:rsidR="00203286" w:rsidRPr="00062556" w:rsidRDefault="00203286" w:rsidP="00203286">
      <w:pPr>
        <w:pStyle w:val="ab"/>
        <w:numPr>
          <w:ilvl w:val="0"/>
          <w:numId w:val="11"/>
        </w:numPr>
        <w:rPr>
          <w:szCs w:val="20"/>
          <w:lang w:val="en-US"/>
        </w:rPr>
      </w:pPr>
      <w:r w:rsidRPr="00062556">
        <w:rPr>
          <w:szCs w:val="20"/>
          <w:lang w:val="en-US"/>
        </w:rPr>
        <w:t>Lewis R. A. A review of terahertz sources //Journal of Physics D: Applied Physics. – 2014. – Т. 47. – №. 37. – С. 374001.</w:t>
      </w:r>
    </w:p>
    <w:p w:rsidR="00203286" w:rsidRPr="00203286" w:rsidRDefault="00203286" w:rsidP="00203286">
      <w:pPr>
        <w:numPr>
          <w:ilvl w:val="0"/>
          <w:numId w:val="11"/>
        </w:numPr>
        <w:rPr>
          <w:szCs w:val="20"/>
          <w:lang w:val="en-US"/>
        </w:rPr>
      </w:pPr>
      <w:r w:rsidRPr="00203286">
        <w:rPr>
          <w:szCs w:val="20"/>
          <w:lang w:val="en-US"/>
        </w:rPr>
        <w:t>Pushkin A. et al. High-power solid-state near-and mid-IR ultrafast laser sources for strong-field science //Photonics. – MDPI, 2022. – Т. 9. – №. 2. – С. 90.</w:t>
      </w:r>
    </w:p>
    <w:p w:rsidR="00203286" w:rsidRPr="00203286" w:rsidRDefault="00203286" w:rsidP="00203286">
      <w:pPr>
        <w:numPr>
          <w:ilvl w:val="0"/>
          <w:numId w:val="11"/>
        </w:numPr>
        <w:rPr>
          <w:szCs w:val="20"/>
          <w:lang w:val="en-US"/>
        </w:rPr>
      </w:pPr>
      <w:r w:rsidRPr="00203286">
        <w:rPr>
          <w:szCs w:val="20"/>
          <w:lang w:val="en-US"/>
        </w:rPr>
        <w:t>Rumiantsev B. V. et.al. (2023). High-Frequency Shift and Extension of the Terahertz Radiation Spectrum up to 10 THz During Optical Rectification of High-Power Few-Cycle Near-Infrared Femtosecond Pump Radiation in a BNA Crystal., JETP Letters, 118(11).</w:t>
      </w:r>
    </w:p>
    <w:p w:rsidR="00203286" w:rsidRPr="00203286" w:rsidRDefault="00203286" w:rsidP="00203286">
      <w:pPr>
        <w:numPr>
          <w:ilvl w:val="0"/>
          <w:numId w:val="11"/>
        </w:numPr>
        <w:rPr>
          <w:szCs w:val="20"/>
          <w:lang w:val="en-US"/>
        </w:rPr>
      </w:pPr>
      <w:r w:rsidRPr="00203286">
        <w:rPr>
          <w:szCs w:val="20"/>
          <w:lang w:val="en-US"/>
        </w:rPr>
        <w:t>Rumiantsev B. V. et.al. (2023). Generation of Intense Few-Cycle Terahertz Radiation in Organic Crystals Pumped by 1.24-μm Multigigawatt Chirped Laser Pulses. JETP Letters, 117(8), 566–573.</w:t>
      </w:r>
    </w:p>
    <w:p w:rsidR="00C32E97" w:rsidRPr="00203286" w:rsidRDefault="00203286" w:rsidP="00203286">
      <w:pPr>
        <w:numPr>
          <w:ilvl w:val="0"/>
          <w:numId w:val="11"/>
        </w:numPr>
        <w:rPr>
          <w:szCs w:val="20"/>
          <w:lang w:val="en-US"/>
        </w:rPr>
      </w:pPr>
      <w:r w:rsidRPr="00203286">
        <w:rPr>
          <w:szCs w:val="20"/>
          <w:lang w:val="en-US"/>
        </w:rPr>
        <w:t>Schneider A. et al. Generation of terahertz pulses through optical rectification in organic DAST crystals: theory and experiment //JOSA B. – 2006. – Т. 23. – №. 9. – С. 1822-1835.</w:t>
      </w:r>
    </w:p>
    <w:sectPr w:rsidR="00C32E97" w:rsidRPr="00203286" w:rsidSect="00903696">
      <w:footerReference w:type="even" r:id="rId10"/>
      <w:footerReference w:type="default" r:id="rId11"/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203" w:rsidRDefault="003D6203">
      <w:r>
        <w:separator/>
      </w:r>
    </w:p>
  </w:endnote>
  <w:endnote w:type="continuationSeparator" w:id="0">
    <w:p w:rsidR="003D6203" w:rsidRDefault="003D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203" w:rsidRDefault="003D6203">
      <w:r>
        <w:separator/>
      </w:r>
    </w:p>
  </w:footnote>
  <w:footnote w:type="continuationSeparator" w:id="0">
    <w:p w:rsidR="003D6203" w:rsidRDefault="003D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221"/>
    <w:multiLevelType w:val="hybridMultilevel"/>
    <w:tmpl w:val="3606E4D2"/>
    <w:lvl w:ilvl="0" w:tplc="1132F574">
      <w:start w:val="1"/>
      <w:numFmt w:val="decimal"/>
      <w:lvlText w:val="[%1] 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704F6D"/>
    <w:multiLevelType w:val="hybridMultilevel"/>
    <w:tmpl w:val="92427FE2"/>
    <w:lvl w:ilvl="0" w:tplc="7A242B66">
      <w:start w:val="1"/>
      <w:numFmt w:val="decimal"/>
      <w:lvlText w:val="%1."/>
      <w:lvlJc w:val="left"/>
      <w:pPr>
        <w:ind w:left="1020" w:hanging="360"/>
      </w:pPr>
    </w:lvl>
    <w:lvl w:ilvl="1" w:tplc="6212C666">
      <w:start w:val="1"/>
      <w:numFmt w:val="decimal"/>
      <w:lvlText w:val="%2."/>
      <w:lvlJc w:val="left"/>
      <w:pPr>
        <w:ind w:left="1020" w:hanging="360"/>
      </w:pPr>
    </w:lvl>
    <w:lvl w:ilvl="2" w:tplc="F4447584">
      <w:start w:val="1"/>
      <w:numFmt w:val="decimal"/>
      <w:lvlText w:val="%3."/>
      <w:lvlJc w:val="left"/>
      <w:pPr>
        <w:ind w:left="1020" w:hanging="360"/>
      </w:pPr>
    </w:lvl>
    <w:lvl w:ilvl="3" w:tplc="E690A830">
      <w:start w:val="1"/>
      <w:numFmt w:val="decimal"/>
      <w:lvlText w:val="%4."/>
      <w:lvlJc w:val="left"/>
      <w:pPr>
        <w:ind w:left="1020" w:hanging="360"/>
      </w:pPr>
    </w:lvl>
    <w:lvl w:ilvl="4" w:tplc="C4685B42">
      <w:start w:val="1"/>
      <w:numFmt w:val="decimal"/>
      <w:lvlText w:val="%5."/>
      <w:lvlJc w:val="left"/>
      <w:pPr>
        <w:ind w:left="1020" w:hanging="360"/>
      </w:pPr>
    </w:lvl>
    <w:lvl w:ilvl="5" w:tplc="54D259B6">
      <w:start w:val="1"/>
      <w:numFmt w:val="decimal"/>
      <w:lvlText w:val="%6."/>
      <w:lvlJc w:val="left"/>
      <w:pPr>
        <w:ind w:left="1020" w:hanging="360"/>
      </w:pPr>
    </w:lvl>
    <w:lvl w:ilvl="6" w:tplc="27F2D33A">
      <w:start w:val="1"/>
      <w:numFmt w:val="decimal"/>
      <w:lvlText w:val="%7."/>
      <w:lvlJc w:val="left"/>
      <w:pPr>
        <w:ind w:left="1020" w:hanging="360"/>
      </w:pPr>
    </w:lvl>
    <w:lvl w:ilvl="7" w:tplc="F1D659D4">
      <w:start w:val="1"/>
      <w:numFmt w:val="decimal"/>
      <w:lvlText w:val="%8."/>
      <w:lvlJc w:val="left"/>
      <w:pPr>
        <w:ind w:left="1020" w:hanging="360"/>
      </w:pPr>
    </w:lvl>
    <w:lvl w:ilvl="8" w:tplc="9140AAB4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65963"/>
    <w:multiLevelType w:val="hybridMultilevel"/>
    <w:tmpl w:val="88D03BD4"/>
    <w:lvl w:ilvl="0" w:tplc="B9CE94C8">
      <w:start w:val="1"/>
      <w:numFmt w:val="decimal"/>
      <w:lvlText w:val="%1."/>
      <w:lvlJc w:val="left"/>
      <w:pPr>
        <w:ind w:left="1020" w:hanging="360"/>
      </w:pPr>
    </w:lvl>
    <w:lvl w:ilvl="1" w:tplc="418AB56E">
      <w:start w:val="1"/>
      <w:numFmt w:val="decimal"/>
      <w:lvlText w:val="%2."/>
      <w:lvlJc w:val="left"/>
      <w:pPr>
        <w:ind w:left="1020" w:hanging="360"/>
      </w:pPr>
    </w:lvl>
    <w:lvl w:ilvl="2" w:tplc="E646A310">
      <w:start w:val="1"/>
      <w:numFmt w:val="decimal"/>
      <w:lvlText w:val="%3."/>
      <w:lvlJc w:val="left"/>
      <w:pPr>
        <w:ind w:left="1020" w:hanging="360"/>
      </w:pPr>
    </w:lvl>
    <w:lvl w:ilvl="3" w:tplc="192C3614">
      <w:start w:val="1"/>
      <w:numFmt w:val="decimal"/>
      <w:lvlText w:val="%4."/>
      <w:lvlJc w:val="left"/>
      <w:pPr>
        <w:ind w:left="1020" w:hanging="360"/>
      </w:pPr>
    </w:lvl>
    <w:lvl w:ilvl="4" w:tplc="EFBE1024">
      <w:start w:val="1"/>
      <w:numFmt w:val="decimal"/>
      <w:lvlText w:val="%5."/>
      <w:lvlJc w:val="left"/>
      <w:pPr>
        <w:ind w:left="1020" w:hanging="360"/>
      </w:pPr>
    </w:lvl>
    <w:lvl w:ilvl="5" w:tplc="ACA0EF2C">
      <w:start w:val="1"/>
      <w:numFmt w:val="decimal"/>
      <w:lvlText w:val="%6."/>
      <w:lvlJc w:val="left"/>
      <w:pPr>
        <w:ind w:left="1020" w:hanging="360"/>
      </w:pPr>
    </w:lvl>
    <w:lvl w:ilvl="6" w:tplc="0FDE22D4">
      <w:start w:val="1"/>
      <w:numFmt w:val="decimal"/>
      <w:lvlText w:val="%7."/>
      <w:lvlJc w:val="left"/>
      <w:pPr>
        <w:ind w:left="1020" w:hanging="360"/>
      </w:pPr>
    </w:lvl>
    <w:lvl w:ilvl="7" w:tplc="7FBAAB22">
      <w:start w:val="1"/>
      <w:numFmt w:val="decimal"/>
      <w:lvlText w:val="%8."/>
      <w:lvlJc w:val="left"/>
      <w:pPr>
        <w:ind w:left="1020" w:hanging="360"/>
      </w:pPr>
    </w:lvl>
    <w:lvl w:ilvl="8" w:tplc="D3D2DBD6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D2199"/>
    <w:multiLevelType w:val="hybridMultilevel"/>
    <w:tmpl w:val="6B10B102"/>
    <w:lvl w:ilvl="0" w:tplc="57FE10B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AE7C4B"/>
    <w:multiLevelType w:val="hybridMultilevel"/>
    <w:tmpl w:val="51C42CB2"/>
    <w:lvl w:ilvl="0" w:tplc="9F44A43C">
      <w:start w:val="1"/>
      <w:numFmt w:val="decimal"/>
      <w:lvlText w:val="[%1]  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25"/>
    <w:rsid w:val="0000334D"/>
    <w:rsid w:val="00011E41"/>
    <w:rsid w:val="0003471A"/>
    <w:rsid w:val="00041583"/>
    <w:rsid w:val="00057723"/>
    <w:rsid w:val="00062556"/>
    <w:rsid w:val="00073747"/>
    <w:rsid w:val="00082FB2"/>
    <w:rsid w:val="00084FBB"/>
    <w:rsid w:val="00090BED"/>
    <w:rsid w:val="000A66E6"/>
    <w:rsid w:val="000A7C0A"/>
    <w:rsid w:val="000B764C"/>
    <w:rsid w:val="000C514B"/>
    <w:rsid w:val="000D3C93"/>
    <w:rsid w:val="00101912"/>
    <w:rsid w:val="001366D7"/>
    <w:rsid w:val="00145559"/>
    <w:rsid w:val="00145725"/>
    <w:rsid w:val="001560FA"/>
    <w:rsid w:val="001815D2"/>
    <w:rsid w:val="00190039"/>
    <w:rsid w:val="00191B00"/>
    <w:rsid w:val="001942D4"/>
    <w:rsid w:val="001B53AC"/>
    <w:rsid w:val="001C0828"/>
    <w:rsid w:val="001C34DE"/>
    <w:rsid w:val="001C65A7"/>
    <w:rsid w:val="002014DE"/>
    <w:rsid w:val="00203286"/>
    <w:rsid w:val="00203945"/>
    <w:rsid w:val="002476D0"/>
    <w:rsid w:val="002522CA"/>
    <w:rsid w:val="0026366B"/>
    <w:rsid w:val="002700F0"/>
    <w:rsid w:val="002744F6"/>
    <w:rsid w:val="0029297A"/>
    <w:rsid w:val="002C3BD6"/>
    <w:rsid w:val="002D0661"/>
    <w:rsid w:val="003134BF"/>
    <w:rsid w:val="0034624D"/>
    <w:rsid w:val="00352BC5"/>
    <w:rsid w:val="0036078F"/>
    <w:rsid w:val="00372B30"/>
    <w:rsid w:val="00387196"/>
    <w:rsid w:val="00396B7E"/>
    <w:rsid w:val="003A1889"/>
    <w:rsid w:val="003A7D50"/>
    <w:rsid w:val="003B0219"/>
    <w:rsid w:val="003B374E"/>
    <w:rsid w:val="003B445A"/>
    <w:rsid w:val="003C665C"/>
    <w:rsid w:val="003D6203"/>
    <w:rsid w:val="003E101B"/>
    <w:rsid w:val="003F101C"/>
    <w:rsid w:val="003F156C"/>
    <w:rsid w:val="0040718C"/>
    <w:rsid w:val="0041150D"/>
    <w:rsid w:val="00412D4B"/>
    <w:rsid w:val="00432F2A"/>
    <w:rsid w:val="00442D0A"/>
    <w:rsid w:val="00453771"/>
    <w:rsid w:val="00454364"/>
    <w:rsid w:val="0046103C"/>
    <w:rsid w:val="00461070"/>
    <w:rsid w:val="00471C89"/>
    <w:rsid w:val="004774A3"/>
    <w:rsid w:val="00483552"/>
    <w:rsid w:val="00486049"/>
    <w:rsid w:val="00487E83"/>
    <w:rsid w:val="00492717"/>
    <w:rsid w:val="004C1B51"/>
    <w:rsid w:val="004C58A4"/>
    <w:rsid w:val="004F0E58"/>
    <w:rsid w:val="004F0EF9"/>
    <w:rsid w:val="004F3B26"/>
    <w:rsid w:val="005065DF"/>
    <w:rsid w:val="00522F93"/>
    <w:rsid w:val="00533712"/>
    <w:rsid w:val="00536E00"/>
    <w:rsid w:val="005656FA"/>
    <w:rsid w:val="00567E13"/>
    <w:rsid w:val="00585FDB"/>
    <w:rsid w:val="0059458C"/>
    <w:rsid w:val="005970FD"/>
    <w:rsid w:val="005A0ADD"/>
    <w:rsid w:val="005B478A"/>
    <w:rsid w:val="005B508B"/>
    <w:rsid w:val="005C1810"/>
    <w:rsid w:val="005C5F32"/>
    <w:rsid w:val="005C65B3"/>
    <w:rsid w:val="005E231D"/>
    <w:rsid w:val="005E4425"/>
    <w:rsid w:val="005E6B10"/>
    <w:rsid w:val="005E788B"/>
    <w:rsid w:val="005F4736"/>
    <w:rsid w:val="005F4BC7"/>
    <w:rsid w:val="00604109"/>
    <w:rsid w:val="00604F95"/>
    <w:rsid w:val="00613B5D"/>
    <w:rsid w:val="00623A05"/>
    <w:rsid w:val="00630801"/>
    <w:rsid w:val="0063550D"/>
    <w:rsid w:val="0065799F"/>
    <w:rsid w:val="00665540"/>
    <w:rsid w:val="00666DD3"/>
    <w:rsid w:val="00670DEA"/>
    <w:rsid w:val="00683150"/>
    <w:rsid w:val="00684521"/>
    <w:rsid w:val="00691213"/>
    <w:rsid w:val="00696CC4"/>
    <w:rsid w:val="006C6C75"/>
    <w:rsid w:val="006D39CB"/>
    <w:rsid w:val="006D6EAD"/>
    <w:rsid w:val="006D78B0"/>
    <w:rsid w:val="006E2A0B"/>
    <w:rsid w:val="006F21F0"/>
    <w:rsid w:val="00700C28"/>
    <w:rsid w:val="00704E39"/>
    <w:rsid w:val="00711518"/>
    <w:rsid w:val="0071479B"/>
    <w:rsid w:val="00726440"/>
    <w:rsid w:val="00740A00"/>
    <w:rsid w:val="007533AC"/>
    <w:rsid w:val="00756166"/>
    <w:rsid w:val="00763BEC"/>
    <w:rsid w:val="0078361D"/>
    <w:rsid w:val="007B0060"/>
    <w:rsid w:val="007C0667"/>
    <w:rsid w:val="007C1532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53D7F"/>
    <w:rsid w:val="008A2CA1"/>
    <w:rsid w:val="008A36BD"/>
    <w:rsid w:val="008A5EDC"/>
    <w:rsid w:val="008D0BC8"/>
    <w:rsid w:val="008D3631"/>
    <w:rsid w:val="008D61A8"/>
    <w:rsid w:val="008E6318"/>
    <w:rsid w:val="008F41D2"/>
    <w:rsid w:val="008F5B75"/>
    <w:rsid w:val="00903696"/>
    <w:rsid w:val="00904BA7"/>
    <w:rsid w:val="00925138"/>
    <w:rsid w:val="00960060"/>
    <w:rsid w:val="009654CD"/>
    <w:rsid w:val="00971DA1"/>
    <w:rsid w:val="00986F44"/>
    <w:rsid w:val="00992E66"/>
    <w:rsid w:val="009C1840"/>
    <w:rsid w:val="009C6D9B"/>
    <w:rsid w:val="009F0CFF"/>
    <w:rsid w:val="009F1B7E"/>
    <w:rsid w:val="009F2005"/>
    <w:rsid w:val="009F3AFE"/>
    <w:rsid w:val="009F7B00"/>
    <w:rsid w:val="00A00B0F"/>
    <w:rsid w:val="00A318C8"/>
    <w:rsid w:val="00A45448"/>
    <w:rsid w:val="00A54E93"/>
    <w:rsid w:val="00A76ECF"/>
    <w:rsid w:val="00AD4300"/>
    <w:rsid w:val="00B07841"/>
    <w:rsid w:val="00B36D3C"/>
    <w:rsid w:val="00B40569"/>
    <w:rsid w:val="00B60661"/>
    <w:rsid w:val="00B71CCF"/>
    <w:rsid w:val="00B86DDF"/>
    <w:rsid w:val="00B87ADC"/>
    <w:rsid w:val="00B9050C"/>
    <w:rsid w:val="00BA269F"/>
    <w:rsid w:val="00BA54D7"/>
    <w:rsid w:val="00BB1D57"/>
    <w:rsid w:val="00BC53DF"/>
    <w:rsid w:val="00BE6742"/>
    <w:rsid w:val="00BF0E0C"/>
    <w:rsid w:val="00BF1D85"/>
    <w:rsid w:val="00BF258B"/>
    <w:rsid w:val="00C13C66"/>
    <w:rsid w:val="00C23BEC"/>
    <w:rsid w:val="00C248C4"/>
    <w:rsid w:val="00C32E97"/>
    <w:rsid w:val="00C5088E"/>
    <w:rsid w:val="00C55FC0"/>
    <w:rsid w:val="00C81BF2"/>
    <w:rsid w:val="00C82183"/>
    <w:rsid w:val="00C92CD8"/>
    <w:rsid w:val="00CB2A48"/>
    <w:rsid w:val="00CC6E54"/>
    <w:rsid w:val="00CC748C"/>
    <w:rsid w:val="00CD4908"/>
    <w:rsid w:val="00CE417A"/>
    <w:rsid w:val="00CE5B12"/>
    <w:rsid w:val="00CF7411"/>
    <w:rsid w:val="00D06605"/>
    <w:rsid w:val="00D11384"/>
    <w:rsid w:val="00D32EC5"/>
    <w:rsid w:val="00D6493C"/>
    <w:rsid w:val="00D90DF5"/>
    <w:rsid w:val="00D92858"/>
    <w:rsid w:val="00DA4924"/>
    <w:rsid w:val="00DD71B4"/>
    <w:rsid w:val="00DD7765"/>
    <w:rsid w:val="00E02503"/>
    <w:rsid w:val="00E20375"/>
    <w:rsid w:val="00E22224"/>
    <w:rsid w:val="00E63F1A"/>
    <w:rsid w:val="00E64A9A"/>
    <w:rsid w:val="00E65676"/>
    <w:rsid w:val="00E65683"/>
    <w:rsid w:val="00E87E10"/>
    <w:rsid w:val="00E9543A"/>
    <w:rsid w:val="00EA4C97"/>
    <w:rsid w:val="00EB362B"/>
    <w:rsid w:val="00ED0FEB"/>
    <w:rsid w:val="00EE2373"/>
    <w:rsid w:val="00EF5620"/>
    <w:rsid w:val="00EF5FB6"/>
    <w:rsid w:val="00F00244"/>
    <w:rsid w:val="00F05403"/>
    <w:rsid w:val="00F30866"/>
    <w:rsid w:val="00F40B92"/>
    <w:rsid w:val="00F4287B"/>
    <w:rsid w:val="00F5099C"/>
    <w:rsid w:val="00F50E49"/>
    <w:rsid w:val="00F538BF"/>
    <w:rsid w:val="00F7405A"/>
    <w:rsid w:val="00FB0480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A70E2-C177-441D-AC62-E33AE126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paragraph" w:styleId="af0">
    <w:name w:val="caption"/>
    <w:basedOn w:val="a"/>
    <w:next w:val="a"/>
    <w:semiHidden/>
    <w:unhideWhenUsed/>
    <w:qFormat/>
    <w:rsid w:val="00492717"/>
    <w:rPr>
      <w:b/>
      <w:bCs/>
      <w:sz w:val="20"/>
      <w:szCs w:val="20"/>
    </w:rPr>
  </w:style>
  <w:style w:type="character" w:styleId="af1">
    <w:name w:val="annotation reference"/>
    <w:semiHidden/>
    <w:unhideWhenUsed/>
    <w:rsid w:val="00683150"/>
    <w:rPr>
      <w:sz w:val="16"/>
      <w:szCs w:val="16"/>
    </w:rPr>
  </w:style>
  <w:style w:type="paragraph" w:styleId="af2">
    <w:name w:val="annotation text"/>
    <w:basedOn w:val="a"/>
    <w:link w:val="af3"/>
    <w:unhideWhenUsed/>
    <w:rsid w:val="0068315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683150"/>
  </w:style>
  <w:style w:type="paragraph" w:styleId="af4">
    <w:name w:val="annotation subject"/>
    <w:basedOn w:val="af2"/>
    <w:next w:val="af2"/>
    <w:link w:val="af5"/>
    <w:semiHidden/>
    <w:unhideWhenUsed/>
    <w:rsid w:val="00683150"/>
    <w:rPr>
      <w:b/>
      <w:bCs/>
    </w:rPr>
  </w:style>
  <w:style w:type="character" w:customStyle="1" w:styleId="af5">
    <w:name w:val="Тема примечания Знак"/>
    <w:link w:val="af4"/>
    <w:semiHidden/>
    <w:rsid w:val="006831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8C6DE-EEAF-4392-87C1-BB4CB79E1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Павел Шулындин</cp:lastModifiedBy>
  <cp:revision>2</cp:revision>
  <dcterms:created xsi:type="dcterms:W3CDTF">2024-02-05T16:10:00Z</dcterms:created>
  <dcterms:modified xsi:type="dcterms:W3CDTF">2024-02-05T16:10:00Z</dcterms:modified>
</cp:coreProperties>
</file>