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AE" w:rsidRPr="00B95919" w:rsidRDefault="00F15CB3">
      <w:pPr>
        <w:shd w:val="clear" w:color="auto" w:fill="FFFFFF"/>
        <w:spacing w:after="160" w:line="4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B959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Потери на переменном токе в элементах генератора на основе композитных ВТСП </w:t>
      </w:r>
      <w:bookmarkEnd w:id="0"/>
      <w:r w:rsidRPr="00B959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лент</w:t>
      </w:r>
    </w:p>
    <w:p w:rsidR="00A36764" w:rsidRDefault="00F15CB3">
      <w:pPr>
        <w:shd w:val="clear" w:color="auto" w:fill="FFFFFF"/>
        <w:spacing w:after="160" w:line="43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9591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Веселова 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u-RU"/>
        </w:rPr>
        <w:t>1,2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Мартиросян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u-RU"/>
        </w:rPr>
        <w:t>1,2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 Александров Д.А.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 Покровский С.В.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u-RU"/>
        </w:rPr>
        <w:t xml:space="preserve"> 1,2</w:t>
      </w:r>
    </w:p>
    <w:p w:rsidR="004378AE" w:rsidRPr="00A36764" w:rsidRDefault="00F15CB3">
      <w:pPr>
        <w:shd w:val="clear" w:color="auto" w:fill="FFFFFF"/>
        <w:spacing w:after="160" w:line="43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  <w:vertAlign w:val="superscript"/>
          <w:lang w:val="ru-RU"/>
        </w:rPr>
        <w:t>1</w:t>
      </w:r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 xml:space="preserve">Национальный исследовательский ядерный университет “МИФИ”, </w:t>
      </w:r>
      <w:proofErr w:type="gramStart"/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>г</w:t>
      </w:r>
      <w:proofErr w:type="gramEnd"/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 xml:space="preserve"> </w:t>
      </w:r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>Москва, Россия</w:t>
      </w:r>
    </w:p>
    <w:p w:rsidR="004378AE" w:rsidRDefault="00F15CB3">
      <w:pPr>
        <w:shd w:val="clear" w:color="auto" w:fill="FFFFFF"/>
        <w:spacing w:after="160" w:line="438" w:lineRule="auto"/>
        <w:jc w:val="both"/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454545"/>
          <w:sz w:val="24"/>
          <w:szCs w:val="24"/>
          <w:vertAlign w:val="superscript"/>
          <w:lang w:val="ru-RU"/>
        </w:rPr>
        <w:t>2</w:t>
      </w:r>
      <w:r w:rsidRPr="00B95919">
        <w:rPr>
          <w:rFonts w:ascii="Times New Roman" w:hAnsi="Times New Roman" w:cs="Times New Roman"/>
          <w:i/>
          <w:color w:val="454545"/>
          <w:sz w:val="24"/>
          <w:szCs w:val="24"/>
          <w:lang w:val="ru-RU"/>
        </w:rPr>
        <w:t>Казанский (Приволжский) федеральный университет</w:t>
      </w:r>
      <w:r>
        <w:rPr>
          <w:rFonts w:ascii="Times New Roman" w:hAnsi="Times New Roman" w:cs="Times New Roman"/>
          <w:i/>
          <w:color w:val="454545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454545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i/>
          <w:color w:val="454545"/>
          <w:sz w:val="24"/>
          <w:szCs w:val="24"/>
          <w:lang w:val="ru-RU"/>
        </w:rPr>
        <w:t>. Казань, Россия</w:t>
      </w:r>
    </w:p>
    <w:p w:rsidR="004378AE" w:rsidRPr="00B95919" w:rsidRDefault="00F15CB3">
      <w:pPr>
        <w:shd w:val="clear" w:color="auto" w:fill="FFFFFF"/>
        <w:spacing w:after="160" w:line="438" w:lineRule="auto"/>
        <w:jc w:val="both"/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E</w:t>
      </w:r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mail</w:t>
      </w:r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i</w:t>
      </w:r>
      <w:proofErr w:type="spellEnd"/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svveselova</w:t>
      </w:r>
      <w:proofErr w:type="spellEnd"/>
      <w:r w:rsidRPr="00B95919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ru</w:t>
      </w:r>
      <w:proofErr w:type="spellEnd"/>
    </w:p>
    <w:p w:rsidR="00231EDB" w:rsidRPr="008341BE" w:rsidRDefault="00F15CB3" w:rsidP="00231ED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Генераторы энергии повсеместно используются для питания энергетических установок и различных транспортных систем. Важными параметрами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генераторов является их мощность, эффективность, большое значение также имеют размеры и вес оборудования. Одним из возможных способов улучшения всех этих показателей генераторов является замена традиционных медных обмоток на сверхпроводящие (СП) элементы </w:t>
      </w:r>
      <w:r w:rsidR="004D5FB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[1-3</w:t>
      </w:r>
      <w:r w:rsidR="008341B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]. В качестве объектов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исследования были выбраны такие конфигурации обмоток на основе композитной ВТСП ленты,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рейстрек</w:t>
      </w:r>
      <w:proofErr w:type="spellEnd"/>
      <w:r w:rsidR="008341B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</w:t>
      </w:r>
      <w:proofErr w:type="gramStart"/>
      <w:r w:rsidR="008341B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намотанный</w:t>
      </w:r>
      <w:proofErr w:type="gramEnd"/>
      <w:r w:rsidR="008341B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методом двойной галеты)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катушка замкнутой 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ВТСП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обмотки. В процессе работы этих элементов в условиях переменного тока возникают энергетические потери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джоуле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proofErr w:type="spellEnd"/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нагрев сверхпроводника,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конечном итоге может привести к перегревам и снижению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токонесущей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способности элемента. Для оценки потерь на переменном токе были проведены исследования </w:t>
      </w:r>
      <w:r w:rsidR="00B95919"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 различной частотой (от 50 Гц до 1033 ГЦ) </w:t>
      </w:r>
      <w:r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 амплитудой транспортного тока 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 10% до 90% от критической плотности</w:t>
      </w:r>
      <w:r w:rsidR="00B95919"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тока </w:t>
      </w:r>
      <w:proofErr w:type="spellStart"/>
      <w:r w:rsidR="00B95919" w:rsidRPr="00B95919">
        <w:rPr>
          <w:rFonts w:ascii="Times New Roman" w:eastAsia="Times New Roman" w:hAnsi="Times New Roman" w:cs="Times New Roman"/>
          <w:sz w:val="24"/>
          <w:szCs w:val="24"/>
          <w:highlight w:val="white"/>
        </w:rPr>
        <w:t>J</w:t>
      </w:r>
      <w:r w:rsidR="00B95919" w:rsidRPr="00B95919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c</w:t>
      </w:r>
      <w:proofErr w:type="spellEnd"/>
      <w:r w:rsidR="00B95919"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ходе исследования </w:t>
      </w:r>
      <w:r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</w:t>
      </w:r>
      <w:r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ыли получены </w:t>
      </w:r>
      <w:r w:rsidR="00B95919"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экспериментальные </w:t>
      </w:r>
      <w:r w:rsidRPr="00B9591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позволяющие сделать вывод о том, что потери замкнутых ВТСП обмоток выше, чем потери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рейстрековых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катушках.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Это связано с 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различиями распределения магнитного поля относительно центров симметрии катушек. </w:t>
      </w:r>
      <w:r w:rsidR="004D20D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то время как 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обмотка с типом </w:t>
      </w:r>
      <w:r w:rsidR="00231EDB" w:rsidRPr="0032680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двойная галета</w:t>
      </w:r>
      <w:r w:rsidR="00231ED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ru-RU"/>
        </w:rPr>
        <w:t xml:space="preserve"> </w:t>
      </w:r>
      <w:r w:rsidR="00231EDB" w:rsidRPr="004D20D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имеет</w:t>
      </w:r>
      <w:r w:rsidR="00231EDB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ru-RU"/>
        </w:rPr>
        <w:t xml:space="preserve"> </w:t>
      </w:r>
      <w:r w:rsidR="004D20D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симметричное распределение,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D20D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D20D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замкнутой ВТСП обмотке возникают концентраторы поля с большим градиентом, вызванные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наличие</w:t>
      </w:r>
      <w:r w:rsidR="004D20D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</w:t>
      </w:r>
      <w:r w:rsidR="00231ED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отверстий, выполненных при помощи лазерной резки. Это приводит к нагреванию ленты и, как следствие, к увеличению потерь.</w:t>
      </w:r>
      <w:r w:rsidR="00231E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1EDB" w:rsidRPr="003268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Приводится расчетная модель элементов и сравнительный анализ экспериментальных данных с </w:t>
      </w:r>
      <w:proofErr w:type="gramStart"/>
      <w:r w:rsidR="00231EDB" w:rsidRPr="003268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теоретическими</w:t>
      </w:r>
      <w:proofErr w:type="gramEnd"/>
      <w:r w:rsidR="00231EDB" w:rsidRPr="0032680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378AE" w:rsidRDefault="00F15CB3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Работа выполнена в рамках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Госзадания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(проект FSWU-2022-0013) при поддержке Министерства науки и высшего образования РФ.</w:t>
      </w:r>
    </w:p>
    <w:p w:rsidR="004378AE" w:rsidRDefault="00F15CB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Литература</w:t>
      </w:r>
      <w:proofErr w:type="spellEnd"/>
    </w:p>
    <w:p w:rsidR="004378AE" w:rsidRDefault="00F15CB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Haran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K. S. et al. High power density superconducting rotating machines—development status and technology roadmap //Superconductor Science and Technology. – 2017.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30. – №.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12. – С. 123002.</w:t>
      </w:r>
    </w:p>
    <w:p w:rsidR="004378AE" w:rsidRDefault="00F15CB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Sivasubramaniam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K. et al. Development of a high speed HTS generator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 airborne applications //IEEE Transactions on applied superconductivity. – 2009.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19. – №.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– С. 1656-1661.</w:t>
      </w:r>
    </w:p>
    <w:p w:rsidR="004378AE" w:rsidRPr="00054259" w:rsidRDefault="00F15CB3" w:rsidP="00054259">
      <w:pPr>
        <w:numPr>
          <w:ilvl w:val="0"/>
          <w:numId w:val="1"/>
        </w:numPr>
        <w:shd w:val="clear" w:color="auto" w:fill="FFFFFF"/>
        <w:spacing w:after="1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Dezhin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D. S. et al. Design and testing of 200 kW synchronous motor with 2G HTS field coils //IOP Conference Series: Earth and Environmental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Science. – IOP Publishing, 2017.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87. – №.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– С. 032007.</w:t>
      </w:r>
    </w:p>
    <w:sectPr w:rsidR="004378AE" w:rsidRPr="00054259" w:rsidSect="004378AE">
      <w:pgSz w:w="11909" w:h="16834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B3" w:rsidRDefault="00F15CB3">
      <w:pPr>
        <w:spacing w:line="240" w:lineRule="auto"/>
      </w:pPr>
      <w:r>
        <w:separator/>
      </w:r>
    </w:p>
  </w:endnote>
  <w:endnote w:type="continuationSeparator" w:id="0">
    <w:p w:rsidR="00F15CB3" w:rsidRDefault="00F1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B3" w:rsidRDefault="00F15CB3">
      <w:pPr>
        <w:spacing w:line="240" w:lineRule="auto"/>
      </w:pPr>
      <w:r>
        <w:separator/>
      </w:r>
    </w:p>
  </w:footnote>
  <w:footnote w:type="continuationSeparator" w:id="0">
    <w:p w:rsidR="00F15CB3" w:rsidRDefault="00F15C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49F3"/>
    <w:multiLevelType w:val="multilevel"/>
    <w:tmpl w:val="7A825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AE"/>
    <w:rsid w:val="00054259"/>
    <w:rsid w:val="00191597"/>
    <w:rsid w:val="00231EDB"/>
    <w:rsid w:val="0032680A"/>
    <w:rsid w:val="003A4191"/>
    <w:rsid w:val="004378AE"/>
    <w:rsid w:val="004D20DF"/>
    <w:rsid w:val="004D5FB5"/>
    <w:rsid w:val="008341BE"/>
    <w:rsid w:val="00A36764"/>
    <w:rsid w:val="00B95919"/>
    <w:rsid w:val="00F1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378A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378A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378A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378A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378A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378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378AE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378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378AE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Heading8"/>
    <w:uiPriority w:val="9"/>
    <w:rsid w:val="004378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378AE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378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78AE"/>
    <w:pPr>
      <w:ind w:left="720"/>
      <w:contextualSpacing/>
    </w:pPr>
  </w:style>
  <w:style w:type="paragraph" w:styleId="a4">
    <w:name w:val="No Spacing"/>
    <w:uiPriority w:val="1"/>
    <w:qFormat/>
    <w:rsid w:val="004378AE"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sid w:val="004378AE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4378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78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78A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78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78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378A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4378AE"/>
  </w:style>
  <w:style w:type="paragraph" w:customStyle="1" w:styleId="Footer">
    <w:name w:val="Footer"/>
    <w:basedOn w:val="a"/>
    <w:link w:val="CaptionChar"/>
    <w:uiPriority w:val="99"/>
    <w:unhideWhenUsed/>
    <w:rsid w:val="004378A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4378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378A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378AE"/>
  </w:style>
  <w:style w:type="table" w:styleId="ab">
    <w:name w:val="Table Grid"/>
    <w:basedOn w:val="a1"/>
    <w:uiPriority w:val="59"/>
    <w:rsid w:val="004378AE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78AE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78AE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78AE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78AE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78A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37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378A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378AE"/>
    <w:rPr>
      <w:sz w:val="18"/>
    </w:rPr>
  </w:style>
  <w:style w:type="character" w:styleId="af">
    <w:name w:val="footnote reference"/>
    <w:basedOn w:val="a0"/>
    <w:uiPriority w:val="99"/>
    <w:unhideWhenUsed/>
    <w:rsid w:val="004378A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378A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378AE"/>
    <w:rPr>
      <w:sz w:val="20"/>
    </w:rPr>
  </w:style>
  <w:style w:type="character" w:styleId="af2">
    <w:name w:val="endnote reference"/>
    <w:basedOn w:val="a0"/>
    <w:uiPriority w:val="99"/>
    <w:semiHidden/>
    <w:unhideWhenUsed/>
    <w:rsid w:val="004378A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378AE"/>
    <w:pPr>
      <w:spacing w:after="57"/>
    </w:pPr>
  </w:style>
  <w:style w:type="paragraph" w:styleId="21">
    <w:name w:val="toc 2"/>
    <w:basedOn w:val="a"/>
    <w:next w:val="a"/>
    <w:uiPriority w:val="39"/>
    <w:unhideWhenUsed/>
    <w:rsid w:val="004378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378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378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378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378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378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378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378AE"/>
    <w:pPr>
      <w:spacing w:after="57"/>
      <w:ind w:left="2268"/>
    </w:pPr>
  </w:style>
  <w:style w:type="paragraph" w:styleId="af3">
    <w:name w:val="TOC Heading"/>
    <w:uiPriority w:val="39"/>
    <w:unhideWhenUsed/>
    <w:rsid w:val="004378AE"/>
  </w:style>
  <w:style w:type="paragraph" w:styleId="af4">
    <w:name w:val="table of figures"/>
    <w:basedOn w:val="a"/>
    <w:next w:val="a"/>
    <w:uiPriority w:val="99"/>
    <w:unhideWhenUsed/>
    <w:rsid w:val="004378AE"/>
  </w:style>
  <w:style w:type="paragraph" w:customStyle="1" w:styleId="Heading1">
    <w:name w:val="Heading 1"/>
    <w:basedOn w:val="a"/>
    <w:next w:val="a"/>
    <w:link w:val="Heading1Char"/>
    <w:rsid w:val="004378AE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4378AE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link w:val="Heading3Char"/>
    <w:rsid w:val="004378A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4378A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4378AE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rsid w:val="004378AE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437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rsid w:val="004378AE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rsid w:val="004378A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 Veselova</cp:lastModifiedBy>
  <cp:revision>15</cp:revision>
  <dcterms:created xsi:type="dcterms:W3CDTF">2024-02-16T15:37:00Z</dcterms:created>
  <dcterms:modified xsi:type="dcterms:W3CDTF">2024-02-16T20:36:00Z</dcterms:modified>
</cp:coreProperties>
</file>