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364" w:leader="none"/>
        </w:tabs>
        <w:ind w:left="0" w:right="0" w:hanging="0"/>
        <w:jc w:val="center"/>
        <w:rPr/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Излучение</w:t>
      </w:r>
      <w:r>
        <w:rPr>
          <w:b/>
          <w:bCs/>
        </w:rPr>
        <w:t xml:space="preserve"> гравитационных волн доменными стенками в ранней Вселенной</w:t>
      </w:r>
    </w:p>
    <w:p>
      <w:pPr>
        <w:pStyle w:val="Normal"/>
        <w:ind w:left="0" w:right="0" w:firstLine="426"/>
        <w:jc w:val="center"/>
        <w:rPr/>
      </w:pPr>
      <w:r>
        <w:rPr>
          <w:rStyle w:val="Emphasis"/>
          <w:rFonts w:eastAsia="Times New Roman" w:cs="Times New Roman"/>
          <w:b/>
          <w:bCs/>
          <w:i/>
          <w:iCs/>
          <w:color w:val="000000"/>
          <w:sz w:val="24"/>
          <w:szCs w:val="24"/>
          <w:shd w:fill="FFFFFF" w:val="clear"/>
          <w:lang w:val="ru-RU" w:bidi="ar-SA"/>
        </w:rPr>
        <w:t>Данковский И.</w:t>
      </w:r>
      <w:r>
        <w:rPr>
          <w:rStyle w:val="Emphasis"/>
          <w:rFonts w:eastAsia="Times New Roman" w:cs="Times New Roman"/>
          <w:b/>
          <w:bCs/>
          <w:i/>
          <w:iCs/>
          <w:color w:val="000000"/>
          <w:sz w:val="24"/>
          <w:szCs w:val="24"/>
          <w:shd w:fill="FFFFFF" w:val="clear"/>
          <w:lang w:val="ru-RU" w:bidi="ar-SA"/>
        </w:rPr>
        <w:t>Д.</w:t>
      </w:r>
    </w:p>
    <w:p>
      <w:pPr>
        <w:pStyle w:val="Normal"/>
        <w:ind w:left="0" w:right="0" w:firstLine="426"/>
        <w:jc w:val="center"/>
        <w:rPr/>
      </w:pPr>
      <w:r>
        <w:rPr>
          <w:rStyle w:val="Emphasis"/>
          <w:color w:val="000000"/>
          <w:shd w:fill="FFFFFF" w:val="clear"/>
          <w:lang w:val="ru-RU"/>
        </w:rPr>
        <w:t>студент</w:t>
      </w:r>
    </w:p>
    <w:p>
      <w:pPr>
        <w:pStyle w:val="Normal"/>
        <w:spacing w:before="0" w:after="200"/>
        <w:ind w:left="0" w:right="0" w:firstLine="426"/>
        <w:jc w:val="center"/>
        <w:rPr/>
      </w:pPr>
      <w:r>
        <w:rPr>
          <w:rStyle w:val="Emphasis"/>
          <w:color w:val="000000"/>
          <w:shd w:fill="FFFFFF" w:val="clear"/>
          <w:lang w:val="ru-RU"/>
        </w:rPr>
        <w:t>Московский государственный университет имени М.В.Ломоносова,</w:t>
      </w:r>
      <w:r>
        <w:rPr>
          <w:rStyle w:val="Appleconvertedspace"/>
          <w:i/>
          <w:iCs/>
          <w:color w:val="000000"/>
          <w:shd w:fill="FFFFFF" w:val="clear"/>
          <w:lang w:val="ru-RU"/>
        </w:rPr>
        <w:t> </w:t>
      </w:r>
      <w:r>
        <w:rPr>
          <w:i/>
          <w:iCs/>
          <w:color w:val="000000"/>
          <w:shd w:fill="FFFFFF" w:val="clear"/>
          <w:lang w:val="ru-RU"/>
        </w:rPr>
        <w:br/>
      </w:r>
      <w:r>
        <w:rPr>
          <w:rStyle w:val="Emphasis"/>
          <w:color w:val="000000"/>
          <w:shd w:fill="FFFFFF" w:val="clear"/>
          <w:lang w:val="ru-RU"/>
        </w:rPr>
        <w:t>физический факультет, Москва, Россия</w:t>
      </w:r>
      <w:r>
        <w:rPr>
          <w:i/>
          <w:iCs/>
          <w:color w:val="000000"/>
          <w:shd w:fill="FFFFFF" w:val="clear"/>
          <w:lang w:val="ru-RU"/>
        </w:rPr>
        <w:br/>
      </w:r>
      <w:r>
        <w:rPr>
          <w:rStyle w:val="Emphasis"/>
          <w:color w:val="000000"/>
          <w:shd w:fill="FFFFFF" w:val="clear"/>
          <w:lang w:val="ru-RU"/>
        </w:rPr>
        <w:t>E–mail</w:t>
      </w:r>
      <w:r>
        <w:rPr>
          <w:rStyle w:val="Emphasis"/>
          <w:i w:val="false"/>
          <w:color w:val="000000"/>
          <w:shd w:fill="FFFFFF" w:val="clear"/>
          <w:lang w:val="ru-RU"/>
        </w:rPr>
        <w:t xml:space="preserve">: </w:t>
      </w:r>
      <w:r>
        <w:rPr>
          <w:rStyle w:val="Emphasis"/>
          <w:rFonts w:eastAsia="Times New Roman" w:cs="Times New Roman"/>
          <w:i/>
          <w:iCs/>
          <w:color w:val="000000"/>
          <w:sz w:val="24"/>
          <w:szCs w:val="24"/>
          <w:shd w:fill="FFFFFF" w:val="clear"/>
          <w:lang w:val="ru-RU" w:bidi="ar-SA"/>
        </w:rPr>
        <w:t>ivan.dankovsky</w:t>
      </w:r>
      <w:r>
        <w:rPr>
          <w:i/>
          <w:shd w:fill="FFFFFF" w:val="clear"/>
          <w:lang w:val="ru-RU"/>
        </w:rPr>
        <w:t>@gmail.com</w:t>
      </w:r>
    </w:p>
    <w:p>
      <w:pPr>
        <w:pStyle w:val="Normal"/>
        <w:ind w:left="0" w:right="0" w:firstLine="397"/>
        <w:jc w:val="both"/>
        <w:rPr>
          <w:lang w:val="ru-RU"/>
        </w:rPr>
      </w:pPr>
      <w:r>
        <w:rPr>
          <w:lang w:val="ru-RU"/>
        </w:rPr>
        <w:t>Доменные стенки — двумерные топологические дефекты, формирующиеся после спонтанного нарушения симметрии в ранней Вселенной. Существование доменных стенок предсказывается многими моделями физики элементарных частиц. [4][6]</w:t>
      </w:r>
    </w:p>
    <w:p>
      <w:pPr>
        <w:pStyle w:val="Normal"/>
        <w:ind w:left="0" w:right="0" w:firstLine="397"/>
        <w:jc w:val="both"/>
        <w:rPr/>
      </w:pPr>
      <w:r>
        <w:rPr>
          <w:lang w:val="ru-RU"/>
        </w:rPr>
        <w:t xml:space="preserve">Со временем доменные стенки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входят в</w:t>
      </w:r>
      <w:r>
        <w:rPr>
          <w:lang w:val="ru-RU"/>
        </w:rPr>
        <w:t xml:space="preserve"> режим скейлинга, при котором характерные масштабы длин — расстояние между доменными стенками и радиус их кривизны становятся сравнимыми с радиусом Хаббла.[4] В процессе своей эволюции, доменные стенки будут излучать гравитационные волны, регистрация которых может стать еще одним источником информации для проверки моделей физики элементарных частиц.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В данной работе спектры гравитационных волн были получены с помощью численного моделирования классического скалярного поля в пакете </w:t>
      </w:r>
      <w:r>
        <w:rPr>
          <w:rFonts w:eastAsia="Times New Roman" w:cs="Times New Roman"/>
          <w:i/>
          <w:iCs/>
          <w:color w:val="auto"/>
          <w:sz w:val="24"/>
          <w:szCs w:val="24"/>
          <w:lang w:val="ru-RU" w:eastAsia="zh-CN" w:bidi="ar-SA"/>
        </w:rPr>
        <w:t>CosmoLattice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. [1][2].</w:t>
      </w:r>
    </w:p>
    <w:p>
      <w:pPr>
        <w:pStyle w:val="Normal"/>
        <w:ind w:left="0" w:right="0" w:firstLine="397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2784475</wp:posOffset>
                </wp:positionH>
                <wp:positionV relativeFrom="paragraph">
                  <wp:posOffset>1512570</wp:posOffset>
                </wp:positionV>
                <wp:extent cx="2943860" cy="2634615"/>
                <wp:effectExtent l="0" t="0" r="0" b="0"/>
                <wp:wrapSquare wrapText="largest"/>
                <wp:docPr id="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360" cy="263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igure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943225" cy="2207260"/>
                                  <wp:effectExtent l="0" t="0" r="0" b="0"/>
                                  <wp:docPr id="3" name="Image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grayscl/>
                                          </a:blip>
                                          <a:srcRect l="-25" t="-33" r="-25" b="-3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3225" cy="2207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Times New Roman" w:cs="Lohit Devanagari"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ru-RU" w:eastAsia="zh-CN" w:bidi="ar-SA"/>
                              </w:rPr>
                              <w:t>Рис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SEQ Figure \* ARABIC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2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t>: Спектр гравитационных волн после фазового перехода</w:t>
                            </w:r>
                          </w:p>
                        </w:txbxContent>
                      </wps:txbx>
                      <wps:bodyPr lIns="1800" rIns="1800" tIns="1800" bIns="1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fillcolor="white" stroked="f" style="position:absolute;margin-left:219.25pt;margin-top:119.1pt;width:231.7pt;height:207.3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igure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943225" cy="2207260"/>
                            <wp:effectExtent l="0" t="0" r="0" b="0"/>
                            <wp:docPr id="4" name="Image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grayscl/>
                                    </a:blip>
                                    <a:srcRect l="-25" t="-33" r="-25" b="-3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3225" cy="2207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Times New Roman" w:cs="Lohit Devanagari"/>
                          <w:i/>
                          <w:iCs/>
                          <w:color w:val="auto"/>
                          <w:sz w:val="24"/>
                          <w:szCs w:val="24"/>
                          <w:lang w:val="ru-RU" w:eastAsia="zh-CN" w:bidi="ar-SA"/>
                        </w:rPr>
                        <w:t>Рис</w:t>
                      </w:r>
                      <w:r>
                        <w:rPr/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SEQ Figure \* ARABIC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/>
                        <w:t>: Спектр гравитационных волн после фазового перехода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-133350</wp:posOffset>
                </wp:positionH>
                <wp:positionV relativeFrom="paragraph">
                  <wp:posOffset>1512570</wp:posOffset>
                </wp:positionV>
                <wp:extent cx="2889885" cy="2418715"/>
                <wp:effectExtent l="0" t="0" r="0" b="0"/>
                <wp:wrapSquare wrapText="largest"/>
                <wp:docPr id="5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360" cy="241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igure"/>
                              <w:spacing w:before="12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2885440" cy="2164080"/>
                                  <wp:effectExtent l="0" t="0" r="0" b="0"/>
                                  <wp:docPr id="7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 l="-31" t="-41" r="-31" b="-4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5440" cy="2164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Рис </w:t>
                            </w:r>
                            <w:r>
                              <w:rPr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</w:rPr>
                              <w:instrText> SEQ Figure \* ARABIC </w:instrText>
                            </w:r>
                            <w:r>
                              <w:rPr>
                                <w:color w:val="000000"/>
                              </w:rPr>
                              <w:fldChar w:fldCharType="separate"/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</w:rPr>
                              <w:t>: Поведение скейлинг-параметра</w:t>
                            </w:r>
                          </w:p>
                        </w:txbxContent>
                      </wps:txbx>
                      <wps:bodyPr lIns="1800" rIns="1800" tIns="1800" bIns="1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f" style="position:absolute;margin-left:-10.5pt;margin-top:119.1pt;width:227.45pt;height:190.3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igure"/>
                        <w:spacing w:before="12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2885440" cy="2164080"/>
                            <wp:effectExtent l="0" t="0" r="0" b="0"/>
                            <wp:docPr id="8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 l="-31" t="-41" r="-31" b="-4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5440" cy="2164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Рис </w:t>
                      </w:r>
                      <w:r>
                        <w:rPr>
                          <w:color w:val="000000"/>
                        </w:rPr>
                        <w:fldChar w:fldCharType="begin"/>
                      </w:r>
                      <w:r>
                        <w:rPr>
                          <w:color w:val="000000"/>
                        </w:rPr>
                        <w:instrText> SEQ Figure \* ARABIC </w:instrText>
                      </w:r>
                      <w:r>
                        <w:rPr>
                          <w:color w:val="000000"/>
                        </w:rPr>
                        <w:fldChar w:fldCharType="separate"/>
                      </w:r>
                      <w:r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</w:rPr>
                        <w:fldChar w:fldCharType="end"/>
                      </w:r>
                      <w:r>
                        <w:rPr>
                          <w:color w:val="000000"/>
                        </w:rPr>
                        <w:t>: Поведение скейлинг-параметра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Пусть потенциал имеет вид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s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d>
          <m:dPr>
            <m:begChr m:val="("/>
            <m:endChr m:val=")"/>
          </m:dPr>
          <m:e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bν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  <m:sSup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d>
        <m:sSup>
          <m:e>
            <m:r>
              <w:rPr>
                <w:rFonts w:ascii="Cambria Math" w:hAnsi="Cambria Math"/>
              </w:rPr>
              <m:t xml:space="preserve">s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λ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  <m:sSup>
          <m:e>
            <m:r>
              <w:rPr>
                <w:rFonts w:ascii="Cambria Math" w:hAnsi="Cambria Math"/>
              </w:rPr>
              <m:t xml:space="preserve">s</m:t>
            </m:r>
          </m:e>
          <m:sup>
            <m:r>
              <w:rPr>
                <w:rFonts w:ascii="Cambria Math" w:hAnsi="Cambria Math"/>
              </w:rPr>
              <m:t xml:space="preserve">4</m:t>
            </m:r>
          </m:sup>
        </m:sSup>
      </m:oMath>
      <w:r>
        <w:rPr/>
        <w:t xml:space="preserve">, где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</m:oMath>
      <w:r>
        <w:rPr/>
        <w:t xml:space="preserve"> - скалярное поле, </w:t>
      </w:r>
      <w:r>
        <w:rPr/>
      </w:r>
      <m:oMath xmlns:m="http://schemas.openxmlformats.org/officeDocument/2006/math">
        <m:sSub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b,ν,c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  <m:sSub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,λ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</m:oMath>
      <w:r>
        <w:rPr/>
        <w:t xml:space="preserve"> - параметры. Начальный спектр скалярного поля при этом термальный. Тогда формирование доменных стенок становится возможным после фазового перехода 2-го рода [6]. Можно определить поведение спектра гравитационных волн в инфракрасной области после формирования доменных стенок, для чего было проведено 30 симуляций с различными начальными условиями на р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ешетке размера 512</w:t>
      </w:r>
      <w:r>
        <w:rPr>
          <w:rFonts w:eastAsia="Times New Roman" w:cs="Times New Roman"/>
          <w:color w:val="auto"/>
          <w:sz w:val="24"/>
          <w:szCs w:val="24"/>
          <w:vertAlign w:val="superscript"/>
          <w:lang w:val="ru-RU" w:eastAsia="zh-CN" w:bidi="ar-SA"/>
        </w:rPr>
        <w:t>3</w:t>
      </w:r>
      <w:r>
        <w:rPr>
          <w:rFonts w:eastAsia="Times New Roman" w:cs="Times New Roman"/>
          <w:color w:val="auto"/>
          <w:position w:val="0"/>
          <w:sz w:val="24"/>
          <w:sz w:val="24"/>
          <w:szCs w:val="24"/>
          <w:vertAlign w:val="baseline"/>
          <w:lang w:val="ru-RU" w:eastAsia="zh-CN" w:bidi="ar-SA"/>
        </w:rPr>
        <w:t xml:space="preserve">. </w:t>
      </w:r>
    </w:p>
    <w:p>
      <w:pPr>
        <w:pStyle w:val="Normal"/>
        <w:ind w:left="0" w:right="0" w:firstLine="397"/>
        <w:jc w:val="both"/>
        <w:rPr/>
      </w:pPr>
      <w:r>
        <w:rPr/>
      </w:r>
    </w:p>
    <w:p>
      <w:pPr>
        <w:pStyle w:val="Normal"/>
        <w:ind w:left="0" w:right="0" w:firstLine="397"/>
        <w:jc w:val="both"/>
        <w:rPr/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Характерный размер доменных стенок в режиме скейлинга задается радиусом Хаббла. Тогда плотность энергии доменных стенок будет вести себя как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ρ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wall</m:t>
            </m:r>
          </m:sub>
        </m:sSub>
        <m:r>
          <w:rPr>
            <w:rFonts w:ascii="Cambria Math" w:hAnsi="Cambria Math"/>
          </w:rPr>
          <m:t xml:space="preserve">∼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wall</m:t>
                </m:r>
              </m:sub>
            </m:sSub>
          </m:num>
          <m:den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</m:den>
        </m:f>
        <m:f>
          <m:fPr>
            <m:type m:val="lin"/>
          </m:fPr>
          <m:num>
            <m:sSub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∼σ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wall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</m:oMath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. Введем следующую величину: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ξ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dw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ρ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wall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wall</m:t>
                </m:r>
              </m:sub>
            </m:sSub>
          </m:den>
        </m:f>
        <m:r>
          <w:rPr>
            <w:rFonts w:ascii="Cambria Math" w:hAnsi="Cambria Math"/>
          </w:rPr>
          <m:t xml:space="preserve">t</m:t>
        </m:r>
      </m:oMath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 - скейлинг-параметр (scaling parameter) [4]. Можно ожидать, что во время скейлинга она будет постоянна, что подтверждается численными расчетами. </w:t>
      </w:r>
    </w:p>
    <w:p>
      <w:pPr>
        <w:pStyle w:val="Normal"/>
        <w:ind w:left="0" w:right="0" w:firstLine="397"/>
        <w:jc w:val="both"/>
        <w:rPr/>
      </w:pPr>
      <w:r>
        <w:rPr>
          <w:lang w:val="ru-RU"/>
        </w:rPr>
        <w:t xml:space="preserve">Согласно формуле для мощности излучения гравитационных волн, её можно оценить как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∼</m:t>
        </m:r>
        <m:f>
          <m:fPr>
            <m:type m:val="lin"/>
          </m:fPr>
          <m:num>
            <m:acc>
              <m:accPr>
                <m:chr m:val="⃛"/>
              </m:accPr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ij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e>
            </m:acc>
          </m:num>
          <m:den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40</m:t>
                </m:r>
                <m:r>
                  <w:rPr>
                    <w:rFonts w:ascii="Cambria Math" w:hAnsi="Cambria Math"/>
                  </w:rPr>
                  <m:t xml:space="preserve">π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Pl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e>
            </m:d>
          </m:den>
        </m:f>
      </m:oMath>
      <w:r>
        <w:rPr>
          <w:lang w:val="ru-RU"/>
        </w:rPr>
        <w:t xml:space="preserve"> В режиме скейлинга, квадрупольный момент доменных стенок в объеме Хаббла можно оценить как </w:t>
      </w:r>
      <w:r>
        <w:rPr/>
      </w:r>
      <m:oMath xmlns:m="http://schemas.openxmlformats.org/officeDocument/2006/math">
        <m:d>
          <m:dPr>
            <m:begChr m:val="|"/>
            <m:endChr m:val="|"/>
          </m:dPr>
          <m:e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ij</m:t>
                </m:r>
              </m:sub>
            </m:sSub>
          </m:e>
        </m:d>
        <m:f>
          <m:fPr>
            <m:type m:val="lin"/>
          </m:fPr>
          <m:num>
            <m:sSub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∼M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wall</m:t>
                </m:r>
              </m:sub>
            </m:sSub>
          </m:num>
          <m:den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w:r>
        <w:rPr>
          <w:lang w:val="ru-RU"/>
        </w:rPr>
        <w:t xml:space="preserve">. При этом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M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wall</m:t>
            </m:r>
          </m:sub>
        </m:sSub>
        <m:f>
          <m:fPr>
            <m:type m:val="lin"/>
          </m:fPr>
          <m:num>
            <m:sSub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∼σ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wall</m:t>
                </m:r>
              </m:sub>
            </m:sSub>
          </m:num>
          <m:den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w:r>
        <w:rPr/>
        <w:t xml:space="preserve">Тогда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ρ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gw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>∼P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⋅</m:t>
        </m:r>
        <m:sSup>
          <m:e>
            <m:r>
              <w:rPr>
                <w:rFonts w:ascii="Cambria Math" w:hAnsi="Cambria Math"/>
              </w:rPr>
              <m:t xml:space="preserve">H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  <m:r>
          <w:rPr>
            <w:rFonts w:ascii="Cambria Math" w:hAnsi="Cambria Math"/>
          </w:rPr>
          <m:t xml:space="preserve">∼</m:t>
        </m:r>
        <m:f>
          <m:num>
            <m:sSubSup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wall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40</m:t>
            </m:r>
            <m:sSub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πM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Pl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</m:den>
        </m:f>
      </m:oMath>
      <w:r>
        <w:rPr/>
        <w:t>[3]. Т</w:t>
      </w:r>
      <w:r>
        <w:rPr>
          <w:lang w:val="ru-RU"/>
        </w:rPr>
        <w:t xml:space="preserve">акая оценка плотности энергии излученных гравитационных волн находится в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неплохом</w:t>
      </w:r>
      <w:r>
        <w:rPr>
          <w:lang w:val="ru-RU"/>
        </w:rPr>
        <w:t xml:space="preserve"> согласии (для столь грубой оценки) с численными симуляциями –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оценка получается завышенной примерно вдвое. </w:t>
      </w:r>
    </w:p>
    <w:p>
      <w:pPr>
        <w:pStyle w:val="Normal"/>
        <w:ind w:left="0" w:right="0" w:firstLine="397"/>
        <w:jc w:val="both"/>
        <w:rPr/>
      </w:pPr>
      <w:r>
        <w:rPr>
          <w:lang w:val="ru-RU"/>
        </w:rPr>
        <w:t xml:space="preserve">Интересно посмотреть на распределение по площадям замкнутых доменных стенок.    Площадь доменных стенок вычисляется с помощью алгоритма, предложенного в [5]. На двух соседних точках решетки определим величину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</m:oMath>
      <w:r>
        <w:rPr>
          <w:lang w:val="ru-RU"/>
        </w:rPr>
        <w:t xml:space="preserve">, которая принимает значение 1 в случае, если знак скалярного поля различен в этих точках, и значение 0 при одинаковом знаке. Тогда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координатная</w:t>
      </w:r>
      <w:r>
        <w:rPr>
          <w:lang w:val="ru-RU"/>
        </w:rPr>
        <w:t xml:space="preserve"> площадь доменных стенок может быть вычислена как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A=ΔA</m:t>
        </m:r>
        <m:nary>
          <m:naryPr>
            <m:chr m:val="∑"/>
            <m:supHide m:val="1"/>
          </m:naryPr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links</m:t>
            </m:r>
          </m:sub>
          <m:sup/>
          <m:e>
            <m:r>
              <w:rPr>
                <w:rFonts w:ascii="Cambria Math" w:hAnsi="Cambria Math"/>
              </w:rPr>
              <m:t xml:space="preserve">δ</m:t>
            </m:r>
          </m:e>
        </m:nary>
        <m:f>
          <m:num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∇</m:t>
                </m:r>
                <m:r>
                  <w:rPr>
                    <w:rFonts w:ascii="Cambria Math" w:hAnsi="Cambria Math"/>
                  </w:rPr>
                  <m:t xml:space="preserve">ϕ</m:t>
                </m:r>
              </m:e>
            </m:d>
          </m:num>
          <m:den>
            <m:d>
              <m:dPr>
                <m:begChr m:val="|"/>
                <m:endChr m:val="|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ϕ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,x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+</m:t>
            </m:r>
            <m:d>
              <m:dPr>
                <m:begChr m:val="|"/>
                <m:endChr m:val="|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ϕ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,y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+</m:t>
            </m:r>
            <m:d>
              <m:dPr>
                <m:begChr m:val="|"/>
                <m:endChr m:val="|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ϕ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,z</m:t>
                    </m:r>
                  </m:sub>
                </m:sSub>
              </m:e>
            </m:d>
          </m:den>
        </m:f>
      </m:oMath>
      <w:r>
        <w:rPr>
          <w:lang w:val="ru-RU"/>
        </w:rPr>
        <w:t xml:space="preserve">, где 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ΔA</m:t>
        </m:r>
      </m:oMath>
      <w:r>
        <w:rPr>
          <w:lang w:val="ru-RU"/>
        </w:rPr>
        <w:t xml:space="preserve"> - площадь одной ячейки решетки,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ϕ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,i</m:t>
            </m:r>
          </m:sub>
        </m:sSub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i=x,y,z</m:t>
            </m:r>
          </m:e>
        </m:d>
      </m:oMath>
      <w:r>
        <w:rPr>
          <w:lang w:val="ru-RU"/>
        </w:rPr>
        <w:t xml:space="preserve"> - пространственные производные поля. Из симуляций видно, что после начала скейлинга число замкнутых доменных стенок резко уменьшается.  </w:t>
      </w:r>
    </w:p>
    <w:p>
      <w:pPr>
        <w:pStyle w:val="Normal"/>
        <w:ind w:left="0" w:right="0" w:firstLine="397"/>
        <w:jc w:val="both"/>
        <w:rPr/>
      </w:pPr>
      <w:r>
        <w:rPr>
          <w:lang w:val="ru-RU"/>
        </w:rPr>
        <w:t>И</w:t>
      </w:r>
      <w:r>
        <w:rPr>
          <w:lang w:val="ru-RU"/>
        </w:rPr>
        <w:t xml:space="preserve">з полученных спектров гравитационных волн можно получить их вид в настоящий момент времени. Это может помочь в проектировании следующих поколений детекторов гравитационных волн. </w:t>
      </w:r>
    </w:p>
    <w:p>
      <w:pPr>
        <w:pStyle w:val="Normal"/>
        <w:ind w:left="0" w:right="0" w:firstLine="397"/>
        <w:jc w:val="both"/>
        <w:rPr/>
      </w:pPr>
      <w:r>
        <w:rPr/>
      </w:r>
    </w:p>
    <w:p>
      <w:pPr>
        <w:pStyle w:val="Normal"/>
        <w:ind w:left="0" w:right="0" w:firstLine="397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-78105</wp:posOffset>
                </wp:positionH>
                <wp:positionV relativeFrom="paragraph">
                  <wp:posOffset>132715</wp:posOffset>
                </wp:positionV>
                <wp:extent cx="2393950" cy="2881630"/>
                <wp:effectExtent l="0" t="0" r="0" b="0"/>
                <wp:wrapSquare wrapText="largest"/>
                <wp:docPr id="9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280" cy="28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igure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400935" cy="2084705"/>
                                  <wp:effectExtent l="0" t="0" r="0" b="0"/>
                                  <wp:docPr id="11" name="Image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grayscl/>
                                          </a:blip>
                                          <a:srcRect l="29129" t="10957" r="27688" b="1403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935" cy="2084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Times New Roman" w:cs="Lohit Devanagari"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ru-RU" w:eastAsia="zh-CN" w:bidi="ar-SA"/>
                              </w:rPr>
                              <w:t>Рис</w:t>
                            </w:r>
                            <w:r>
                              <w:rPr/>
                              <w:t xml:space="preserve"> 3: Одна из возможных конфигураций доменных стенок</w:t>
                            </w:r>
                          </w:p>
                        </w:txbxContent>
                      </wps:txbx>
                      <wps:bodyPr lIns="3960" rIns="3960" t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fillcolor="white" stroked="f" style="position:absolute;margin-left:-6.15pt;margin-top:10.45pt;width:188.4pt;height:226.8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igure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400935" cy="2084705"/>
                            <wp:effectExtent l="0" t="0" r="0" b="0"/>
                            <wp:docPr id="12" name="Image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grayscl/>
                                    </a:blip>
                                    <a:srcRect l="29129" t="10957" r="27688" b="1403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935" cy="2084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Times New Roman" w:cs="Lohit Devanagari"/>
                          <w:i/>
                          <w:iCs/>
                          <w:color w:val="auto"/>
                          <w:sz w:val="24"/>
                          <w:szCs w:val="24"/>
                          <w:lang w:val="ru-RU" w:eastAsia="zh-CN" w:bidi="ar-SA"/>
                        </w:rPr>
                        <w:t>Рис</w:t>
                      </w:r>
                      <w:r>
                        <w:rPr/>
                        <w:t xml:space="preserve"> 3: Одна из возможных конфигураций доменных стенок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2789555</wp:posOffset>
                </wp:positionH>
                <wp:positionV relativeFrom="paragraph">
                  <wp:posOffset>132715</wp:posOffset>
                </wp:positionV>
                <wp:extent cx="2981960" cy="3071495"/>
                <wp:effectExtent l="0" t="0" r="0" b="0"/>
                <wp:wrapSquare wrapText="largest"/>
                <wp:docPr id="13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160" cy="307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igure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986405" cy="2240280"/>
                                  <wp:effectExtent l="0" t="0" r="0" b="0"/>
                                  <wp:docPr id="15" name="Image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</a:blip>
                                          <a:srcRect l="-55" t="-74" r="-55" b="-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6405" cy="2240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Times New Roman" w:cs="Lohit Devanagari"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ru-RU" w:eastAsia="zh-CN" w:bidi="ar-SA"/>
                              </w:rPr>
                              <w:t>Рис</w:t>
                            </w:r>
                            <w:r>
                              <w:rPr/>
                              <w:t xml:space="preserve"> 4: Распределение доменных стенок по площадям (в единицах космологического горизонта </w:t>
                            </w:r>
                            <w:r>
                              <w:rPr>
                                <w:rFonts w:eastAsia="Times New Roman" w:cs="Lohit Devanagari"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ru-RU" w:eastAsia="zh-CN" w:bidi="ar-SA"/>
                              </w:rPr>
                              <w:t>в</w:t>
                            </w:r>
                            <w:r>
                              <w:rPr/>
                              <w:t xml:space="preserve"> начале симуляции) в один из моментов</w:t>
                            </w:r>
                          </w:p>
                        </w:txbxContent>
                      </wps:txbx>
                      <wps:bodyPr lIns="3240" rIns="3240" t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4" fillcolor="white" stroked="f" style="position:absolute;margin-left:219.65pt;margin-top:10.45pt;width:234.7pt;height:241.7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igure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986405" cy="2240280"/>
                            <wp:effectExtent l="0" t="0" r="0" b="0"/>
                            <wp:docPr id="16" name="Image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</a:blip>
                                    <a:srcRect l="-55" t="-74" r="-55" b="-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6405" cy="2240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Times New Roman" w:cs="Lohit Devanagari"/>
                          <w:i/>
                          <w:iCs/>
                          <w:color w:val="auto"/>
                          <w:sz w:val="24"/>
                          <w:szCs w:val="24"/>
                          <w:lang w:val="ru-RU" w:eastAsia="zh-CN" w:bidi="ar-SA"/>
                        </w:rPr>
                        <w:t>Рис</w:t>
                      </w:r>
                      <w:r>
                        <w:rPr/>
                        <w:t xml:space="preserve"> 4: Распределение доменных стенок по площадям (в единицах космологического горизонта </w:t>
                      </w:r>
                      <w:r>
                        <w:rPr>
                          <w:rFonts w:eastAsia="Times New Roman" w:cs="Lohit Devanagari"/>
                          <w:i/>
                          <w:iCs/>
                          <w:color w:val="auto"/>
                          <w:sz w:val="24"/>
                          <w:szCs w:val="24"/>
                          <w:lang w:val="ru-RU" w:eastAsia="zh-CN" w:bidi="ar-SA"/>
                        </w:rPr>
                        <w:t>в</w:t>
                      </w:r>
                      <w:r>
                        <w:rPr/>
                        <w:t xml:space="preserve"> начале симуляции) в один из моментов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0" w:right="0" w:hanging="0"/>
        <w:jc w:val="both"/>
        <w:rPr/>
      </w:pPr>
      <w:r>
        <w:rPr>
          <w:iCs/>
          <w:lang w:val="ru-RU"/>
        </w:rPr>
        <w:t xml:space="preserve"> </w:t>
      </w:r>
      <w:r>
        <w:rPr>
          <w:iCs/>
          <w:lang w:val="ru-RU"/>
        </w:rPr>
        <w:tab/>
      </w:r>
    </w:p>
    <w:p>
      <w:pPr>
        <w:pStyle w:val="Normal"/>
        <w:ind w:left="0" w:right="0" w:hanging="0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color w:val="000000"/>
          <w:highlight w:val="white"/>
          <w:lang w:val="ru-RU"/>
        </w:rPr>
      </w:pPr>
      <w:r>
        <w:rPr>
          <w:b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color w:val="000000"/>
          <w:highlight w:val="white"/>
          <w:lang w:val="ru-RU"/>
        </w:rPr>
      </w:pPr>
      <w:r>
        <w:rPr>
          <w:b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color w:val="000000"/>
          <w:highlight w:val="white"/>
          <w:lang w:val="ru-RU"/>
        </w:rPr>
      </w:pPr>
      <w:r>
        <w:rPr>
          <w:b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color w:val="000000"/>
          <w:highlight w:val="white"/>
          <w:lang w:val="ru-RU"/>
        </w:rPr>
      </w:pPr>
      <w:r>
        <w:rPr>
          <w:b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color w:val="000000"/>
          <w:highlight w:val="white"/>
          <w:lang w:val="ru-RU"/>
        </w:rPr>
      </w:pPr>
      <w:r>
        <w:rPr>
          <w:b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color w:val="000000"/>
          <w:highlight w:val="white"/>
          <w:lang w:val="ru-RU"/>
        </w:rPr>
      </w:pPr>
      <w:r>
        <w:rPr>
          <w:b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color w:val="000000"/>
          <w:highlight w:val="white"/>
          <w:lang w:val="ru-RU"/>
        </w:rPr>
      </w:pPr>
      <w:r>
        <w:rPr>
          <w:b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color w:val="000000"/>
          <w:highlight w:val="white"/>
          <w:lang w:val="ru-RU"/>
        </w:rPr>
      </w:pPr>
      <w:r>
        <w:rPr>
          <w:b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color w:val="000000"/>
          <w:highlight w:val="white"/>
          <w:lang w:val="ru-RU"/>
        </w:rPr>
      </w:pPr>
      <w:r>
        <w:rPr>
          <w:b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color w:val="000000"/>
          <w:highlight w:val="white"/>
          <w:lang w:val="ru-RU"/>
        </w:rPr>
      </w:pPr>
      <w:r>
        <w:rPr>
          <w:b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color w:val="000000"/>
          <w:highlight w:val="white"/>
          <w:lang w:val="ru-RU"/>
        </w:rPr>
      </w:pPr>
      <w:r>
        <w:rPr>
          <w:b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color w:val="000000"/>
          <w:highlight w:val="white"/>
          <w:lang w:val="ru-RU"/>
        </w:rPr>
      </w:pPr>
      <w:r>
        <w:rPr>
          <w:b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color w:val="000000"/>
          <w:highlight w:val="white"/>
          <w:lang w:val="ru-RU"/>
        </w:rPr>
      </w:pPr>
      <w:r>
        <w:rPr>
          <w:b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left"/>
        <w:rPr>
          <w:b w:val="false"/>
          <w:b w:val="false"/>
          <w:bCs w:val="false"/>
          <w:i w:val="false"/>
          <w:i w:val="false"/>
          <w:iCs w:val="false"/>
          <w:color w:val="000000"/>
          <w:highlight w:val="white"/>
          <w:lang w:val="ru-RU"/>
        </w:rPr>
      </w:pPr>
      <w:r>
        <w:rPr>
          <w:b w:val="false"/>
          <w:bCs w:val="false"/>
          <w:i w:val="false"/>
          <w:iCs w:val="false"/>
          <w:color w:val="000000"/>
          <w:highlight w:val="white"/>
          <w:lang w:val="ru-RU"/>
        </w:rPr>
        <w:tab/>
      </w:r>
    </w:p>
    <w:p>
      <w:pPr>
        <w:pStyle w:val="Normal"/>
        <w:ind w:left="0" w:right="0" w:firstLine="426"/>
        <w:jc w:val="center"/>
        <w:rPr>
          <w:b/>
          <w:b/>
          <w:i w:val="false"/>
          <w:i w:val="false"/>
          <w:iCs w:val="false"/>
          <w:color w:val="000000"/>
          <w:highlight w:val="white"/>
          <w:lang w:val="ru-RU"/>
        </w:rPr>
      </w:pPr>
      <w:r>
        <w:rPr>
          <w:b/>
          <w:i w:val="false"/>
          <w:iCs w:val="false"/>
          <w:color w:val="000000"/>
          <w:highlight w:val="white"/>
          <w:lang w:val="ru-RU"/>
        </w:rPr>
      </w:r>
    </w:p>
    <w:p>
      <w:pPr>
        <w:pStyle w:val="Normal"/>
        <w:ind w:left="0" w:right="0" w:firstLine="426"/>
        <w:jc w:val="center"/>
        <w:rPr>
          <w:b/>
          <w:b/>
          <w:i w:val="false"/>
          <w:i w:val="false"/>
          <w:iCs w:val="false"/>
          <w:color w:val="000000"/>
          <w:highlight w:val="white"/>
          <w:lang w:val="ru-RU"/>
        </w:rPr>
      </w:pPr>
      <w:r>
        <w:rPr>
          <w:b/>
          <w:i w:val="false"/>
          <w:iCs w:val="false"/>
          <w:color w:val="000000"/>
          <w:highlight w:val="white"/>
          <w:lang w:val="ru-RU"/>
        </w:rPr>
        <w:t>Литература</w:t>
      </w:r>
    </w:p>
    <w:p>
      <w:pPr>
        <w:pStyle w:val="Style20"/>
        <w:numPr>
          <w:ilvl w:val="0"/>
          <w:numId w:val="2"/>
        </w:numPr>
        <w:ind w:left="709" w:right="0" w:hanging="283"/>
        <w:rPr>
          <w:i w:val="false"/>
          <w:i w:val="false"/>
          <w:iCs w:val="false"/>
          <w:szCs w:val="20"/>
          <w:lang w:val="ru-RU"/>
        </w:rPr>
      </w:pPr>
      <w:r>
        <w:rPr>
          <w:i w:val="false"/>
          <w:iCs w:val="false"/>
          <w:szCs w:val="20"/>
          <w:lang w:val="ru-RU"/>
        </w:rPr>
        <w:t>D. G. Figueroa, A. Florio, F. Torrenti and W. Valkenburg, JCAP 04, 035 (2021)</w:t>
      </w:r>
    </w:p>
    <w:p>
      <w:pPr>
        <w:pStyle w:val="Style20"/>
        <w:numPr>
          <w:ilvl w:val="0"/>
          <w:numId w:val="2"/>
        </w:numPr>
        <w:ind w:left="709" w:right="0" w:hanging="283"/>
        <w:rPr>
          <w:i w:val="false"/>
          <w:i w:val="false"/>
          <w:iCs w:val="false"/>
          <w:szCs w:val="20"/>
          <w:lang w:val="ru-RU"/>
        </w:rPr>
      </w:pPr>
      <w:r>
        <w:rPr>
          <w:i w:val="false"/>
          <w:iCs w:val="false"/>
          <w:szCs w:val="20"/>
          <w:lang w:val="ru-RU"/>
        </w:rPr>
        <w:t>D. G. Figueroa, A. Florio, F. Torrenti and W. Valkenburg, Comput.Phys.Commun. 283 (2023), 108586</w:t>
      </w:r>
    </w:p>
    <w:p>
      <w:pPr>
        <w:pStyle w:val="Normal"/>
        <w:numPr>
          <w:ilvl w:val="0"/>
          <w:numId w:val="2"/>
        </w:numPr>
        <w:ind w:left="709" w:right="0" w:hanging="283"/>
        <w:rPr>
          <w:i w:val="false"/>
          <w:i w:val="false"/>
          <w:iCs w:val="false"/>
          <w:szCs w:val="20"/>
          <w:u w:val="none"/>
          <w:lang w:val="ru-RU"/>
        </w:rPr>
      </w:pPr>
      <w:r>
        <w:rPr>
          <w:i w:val="false"/>
          <w:iCs w:val="false"/>
          <w:szCs w:val="20"/>
          <w:u w:val="none"/>
          <w:lang w:val="ru-RU"/>
        </w:rPr>
        <w:t xml:space="preserve">Ramazanov, S., Babichev, E., Gorbunov, D., Vikman, A.,  Physical Review D 105(6), 063530 (2022) </w:t>
      </w:r>
    </w:p>
    <w:p>
      <w:pPr>
        <w:pStyle w:val="Style20"/>
        <w:numPr>
          <w:ilvl w:val="0"/>
          <w:numId w:val="2"/>
        </w:numPr>
        <w:ind w:left="709" w:right="0" w:hanging="283"/>
        <w:rPr>
          <w:i w:val="false"/>
          <w:i w:val="false"/>
          <w:iCs w:val="false"/>
          <w:szCs w:val="20"/>
          <w:u w:val="none"/>
          <w:lang w:val="ru-RU"/>
        </w:rPr>
      </w:pPr>
      <w:r>
        <w:rPr>
          <w:i w:val="false"/>
          <w:iCs w:val="false"/>
          <w:szCs w:val="20"/>
          <w:u w:val="none"/>
          <w:lang w:val="ru-RU"/>
        </w:rPr>
        <w:t>T. Hiramatsu, M. Kawasaki and K. Saikawa, JCAP 02 (2014), 031</w:t>
      </w:r>
    </w:p>
    <w:p>
      <w:pPr>
        <w:pStyle w:val="Style20"/>
        <w:numPr>
          <w:ilvl w:val="0"/>
          <w:numId w:val="2"/>
        </w:numPr>
        <w:ind w:left="709" w:right="0" w:hanging="283"/>
        <w:rPr>
          <w:i w:val="false"/>
          <w:i w:val="false"/>
          <w:iCs w:val="false"/>
          <w:szCs w:val="20"/>
          <w:lang w:val="ru-RU"/>
        </w:rPr>
      </w:pPr>
      <w:r>
        <w:rPr>
          <w:i w:val="false"/>
          <w:iCs w:val="false"/>
          <w:szCs w:val="20"/>
          <w:lang w:val="ru-RU"/>
        </w:rPr>
        <w:t>W. H. Press, B. S. Ryden, and D. N. Spergel, Astrophys.J. 347, 590 (1989)</w:t>
      </w:r>
    </w:p>
    <w:p>
      <w:pPr>
        <w:pStyle w:val="Normal"/>
        <w:numPr>
          <w:ilvl w:val="0"/>
          <w:numId w:val="2"/>
        </w:numPr>
        <w:ind w:left="709" w:right="0" w:hanging="283"/>
        <w:rPr>
          <w:i w:val="false"/>
          <w:i w:val="false"/>
          <w:iCs w:val="false"/>
          <w:szCs w:val="20"/>
          <w:u w:val="none"/>
          <w:lang w:val="ru-RU"/>
        </w:rPr>
      </w:pPr>
      <w:r>
        <w:rPr>
          <w:i w:val="false"/>
          <w:iCs w:val="false"/>
          <w:szCs w:val="20"/>
          <w:u w:val="none"/>
          <w:lang w:val="ru-RU"/>
        </w:rPr>
        <w:t>Yang Li, Ligong Bian, Yongtao Jia, [arXiv:2304.05220 [hep-ph]]</w:t>
      </w:r>
    </w:p>
    <w:p>
      <w:pPr>
        <w:pStyle w:val="Normal"/>
        <w:numPr>
          <w:ilvl w:val="0"/>
          <w:numId w:val="0"/>
        </w:numPr>
        <w:ind w:left="1354" w:right="0" w:hanging="0"/>
        <w:rPr>
          <w:i w:val="false"/>
          <w:i w:val="false"/>
          <w:iCs w:val="false"/>
          <w:szCs w:val="20"/>
          <w:u w:val="none"/>
          <w:lang w:val="ru-RU"/>
        </w:rPr>
      </w:pPr>
      <w:r>
        <w:rPr/>
      </w:r>
    </w:p>
    <w:sectPr>
      <w:footerReference w:type="default" r:id="rId6"/>
      <w:type w:val="nextPage"/>
      <w:pgSz w:w="11906" w:h="16838"/>
      <w:pgMar w:left="1361" w:right="1361" w:header="0" w:top="1134" w:footer="709" w:bottom="12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0" w:right="360" w:hanging="0"/>
      <w:rPr>
        <w:lang w:val="ru-RU"/>
      </w:rPr>
    </w:pPr>
    <w:r>
      <w:rPr>
        <w:lang w:val="ru-RU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i w:val="false"/>
        <w:szCs w:val="20"/>
        <w:iCs w:val="fals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pageBreakBefore/>
      <w:numPr>
        <w:ilvl w:val="1"/>
        <w:numId w:val="1"/>
      </w:numPr>
      <w:spacing w:lineRule="auto" w:line="360" w:before="0" w:after="120"/>
      <w:ind w:left="0" w:right="0" w:firstLine="709"/>
      <w:jc w:val="center"/>
      <w:outlineLvl w:val="1"/>
    </w:pPr>
    <w:rPr>
      <w:b/>
      <w:bCs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i w:val="false"/>
      <w:iCs w:val="false"/>
      <w:szCs w:val="20"/>
      <w:lang w:val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  <w:color w:val="000000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Style13">
    <w:name w:val="Основной шрифт абзаца"/>
    <w:qFormat/>
    <w:rPr/>
  </w:style>
  <w:style w:type="character" w:styleId="Emphasis">
    <w:name w:val="Emphasis"/>
    <w:qFormat/>
    <w:rPr>
      <w:i/>
      <w:iCs/>
    </w:rPr>
  </w:style>
  <w:style w:type="character" w:styleId="Appleconvertedspace">
    <w:name w:val="apple-converted-space"/>
    <w:basedOn w:val="Style13"/>
    <w:qFormat/>
    <w:rPr/>
  </w:style>
  <w:style w:type="character" w:styleId="InternetLink">
    <w:name w:val="Hyperlink"/>
    <w:rPr>
      <w:color w:val="0000FF"/>
      <w:u w:val="single"/>
    </w:rPr>
  </w:style>
  <w:style w:type="character" w:styleId="Style14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styleId="2">
    <w:name w:val="Заголовок 2 Знак"/>
    <w:qFormat/>
    <w:rPr>
      <w:b/>
      <w:bCs/>
      <w:iCs/>
      <w:sz w:val="28"/>
      <w:szCs w:val="28"/>
      <w:lang w:bidi="ar-SA"/>
    </w:rPr>
  </w:style>
  <w:style w:type="character" w:styleId="PageNumber">
    <w:name w:val="Page Number"/>
    <w:basedOn w:val="Style13"/>
    <w:rPr/>
  </w:style>
  <w:style w:type="character" w:styleId="Style15">
    <w:name w:val="Замещающий текст"/>
    <w:qFormat/>
    <w:rPr>
      <w:color w:val="808080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Верхний колонтитул Знак"/>
    <w:basedOn w:val="Style13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/>
    <w:rPr/>
  </w:style>
  <w:style w:type="paragraph" w:styleId="Style20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igure">
    <w:name w:val="Figure"/>
    <w:basedOn w:val="Caption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LibreOffice/6.4.7.2$Linux_X86_64 LibreOffice_project/40$Build-2</Application>
  <Pages>2</Pages>
  <Words>488</Words>
  <Characters>3144</Characters>
  <CharactersWithSpaces>3628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2018-02-06T10:23:00Z</dcterms:created>
  <dc:creator>PR</dc:creator>
  <dc:description/>
  <dc:language>en-US</dc:language>
  <cp:lastModifiedBy/>
  <dcterms:modified xsi:type="dcterms:W3CDTF">2024-02-11T15:19:14Z</dcterms:modified>
  <cp:revision>20</cp:revision>
  <dc:subject/>
  <dc:title>Особенности акустического поля мощных фазированных решеток для неинвазивной ультразвуковой хирургии</dc:title>
</cp:coreProperties>
</file>