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2AF3" w14:textId="6E627FCA" w:rsidR="00B814BC" w:rsidRDefault="006137FF">
      <w:pPr>
        <w:tabs>
          <w:tab w:val="left" w:pos="364"/>
        </w:tabs>
        <w:jc w:val="center"/>
        <w:rPr>
          <w:color w:val="000000"/>
        </w:rPr>
      </w:pPr>
      <w:r>
        <w:rPr>
          <w:b/>
          <w:bCs/>
          <w:color w:val="000000"/>
        </w:rPr>
        <w:t>Спектроскопия</w:t>
      </w:r>
      <w:r w:rsidR="0000000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три</w:t>
      </w:r>
      <w:r w:rsidR="00000000">
        <w:rPr>
          <w:b/>
          <w:bCs/>
          <w:color w:val="000000"/>
        </w:rPr>
        <w:t>жды тяжёлых тетракварков</w:t>
      </w:r>
    </w:p>
    <w:p w14:paraId="4C2E5AE2" w14:textId="77777777" w:rsidR="00B814BC" w:rsidRDefault="00000000" w:rsidP="00694C09">
      <w:pPr>
        <w:tabs>
          <w:tab w:val="left" w:pos="364"/>
        </w:tabs>
        <w:jc w:val="center"/>
      </w:pPr>
      <w:r>
        <w:rPr>
          <w:rStyle w:val="a3"/>
          <w:b/>
          <w:bCs/>
          <w:color w:val="000000"/>
          <w:shd w:val="clear" w:color="auto" w:fill="FFFFFF"/>
        </w:rPr>
        <w:t>Савченко Е.М.</w:t>
      </w:r>
    </w:p>
    <w:p w14:paraId="29616931" w14:textId="776F9164" w:rsidR="00B814BC" w:rsidRDefault="00000000">
      <w:pPr>
        <w:tabs>
          <w:tab w:val="left" w:pos="364"/>
        </w:tabs>
        <w:jc w:val="center"/>
      </w:pPr>
      <w:r>
        <w:rPr>
          <w:rStyle w:val="a3"/>
          <w:color w:val="000000"/>
          <w:shd w:val="clear" w:color="auto" w:fill="FFFFFF"/>
        </w:rPr>
        <w:t>аспирант</w:t>
      </w:r>
    </w:p>
    <w:p w14:paraId="190D5585" w14:textId="2EFD661A" w:rsidR="00B814BC" w:rsidRPr="00BB6E17" w:rsidRDefault="00000000">
      <w:pPr>
        <w:tabs>
          <w:tab w:val="left" w:pos="364"/>
        </w:tabs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факультет, Москва, Россия</w:t>
      </w:r>
      <w:r w:rsidR="00BB6E17" w:rsidRPr="00BB6E17">
        <w:rPr>
          <w:rStyle w:val="a3"/>
          <w:color w:val="000000"/>
          <w:shd w:val="clear" w:color="auto" w:fill="FFFFFF"/>
        </w:rPr>
        <w:t>;</w:t>
      </w:r>
    </w:p>
    <w:p w14:paraId="42DB31C9" w14:textId="268AE176" w:rsidR="001A6A6E" w:rsidRDefault="001A6A6E" w:rsidP="001A6A6E">
      <w:pPr>
        <w:tabs>
          <w:tab w:val="left" w:pos="364"/>
        </w:tabs>
        <w:jc w:val="center"/>
      </w:pPr>
      <w:r>
        <w:rPr>
          <w:rStyle w:val="a3"/>
          <w:color w:val="000000"/>
          <w:shd w:val="clear" w:color="auto" w:fill="FFFFFF"/>
        </w:rPr>
        <w:t>младший научный сотрудник</w:t>
      </w:r>
    </w:p>
    <w:p w14:paraId="2F968531" w14:textId="77777777" w:rsidR="00B814BC" w:rsidRDefault="00000000">
      <w:pPr>
        <w:tabs>
          <w:tab w:val="left" w:pos="364"/>
        </w:tabs>
        <w:jc w:val="center"/>
      </w:pPr>
      <w:r>
        <w:rPr>
          <w:i/>
          <w:iCs/>
          <w:color w:val="000000"/>
          <w:shd w:val="clear" w:color="auto" w:fill="FFFFFF"/>
        </w:rPr>
        <w:t xml:space="preserve">Федеральный исследовательский центр «Информатика и управление» Российской академии наук, </w:t>
      </w:r>
      <w:r>
        <w:rPr>
          <w:rStyle w:val="a3"/>
          <w:color w:val="000000"/>
          <w:shd w:val="clear" w:color="auto" w:fill="FFFFFF"/>
        </w:rPr>
        <w:t>Москва, Россия</w:t>
      </w:r>
    </w:p>
    <w:p w14:paraId="3C807348" w14:textId="77777777" w:rsidR="00B814BC" w:rsidRPr="00E82604" w:rsidRDefault="00000000">
      <w:pPr>
        <w:tabs>
          <w:tab w:val="left" w:pos="364"/>
        </w:tabs>
        <w:jc w:val="center"/>
        <w:rPr>
          <w:lang w:val="en-US"/>
        </w:rPr>
      </w:pPr>
      <w:r>
        <w:rPr>
          <w:rStyle w:val="a3"/>
          <w:color w:val="000000"/>
          <w:shd w:val="clear" w:color="auto" w:fill="FFFFFF"/>
          <w:lang w:val="en-US"/>
        </w:rPr>
        <w:t>E</w:t>
      </w:r>
      <w:r w:rsidRPr="00E82604">
        <w:rPr>
          <w:rStyle w:val="a3"/>
          <w:color w:val="000000"/>
          <w:shd w:val="clear" w:color="auto" w:fill="FFFFFF"/>
          <w:lang w:val="en-US"/>
        </w:rPr>
        <w:t>–</w:t>
      </w:r>
      <w:r>
        <w:rPr>
          <w:rStyle w:val="a3"/>
          <w:color w:val="000000"/>
          <w:shd w:val="clear" w:color="auto" w:fill="FFFFFF"/>
          <w:lang w:val="en-US"/>
        </w:rPr>
        <w:t>mail</w:t>
      </w:r>
      <w:r w:rsidRPr="00E82604">
        <w:rPr>
          <w:rStyle w:val="a3"/>
          <w:color w:val="000000"/>
          <w:shd w:val="clear" w:color="auto" w:fill="FFFFFF"/>
          <w:lang w:val="en-US"/>
        </w:rPr>
        <w:t xml:space="preserve">: </w:t>
      </w:r>
      <w:r>
        <w:rPr>
          <w:rStyle w:val="a3"/>
          <w:color w:val="000000"/>
          <w:shd w:val="clear" w:color="auto" w:fill="FFFFFF"/>
          <w:lang w:val="en-US"/>
        </w:rPr>
        <w:t>savchenko</w:t>
      </w:r>
      <w:r w:rsidRPr="00E82604">
        <w:rPr>
          <w:rStyle w:val="a3"/>
          <w:color w:val="000000"/>
          <w:shd w:val="clear" w:color="auto" w:fill="FFFFFF"/>
          <w:lang w:val="en-US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em</w:t>
      </w:r>
      <w:r w:rsidRPr="00E82604">
        <w:rPr>
          <w:rStyle w:val="a3"/>
          <w:color w:val="000000"/>
          <w:shd w:val="clear" w:color="auto" w:fill="FFFFFF"/>
          <w:lang w:val="en-US"/>
        </w:rPr>
        <w:t>16@</w:t>
      </w:r>
      <w:r>
        <w:rPr>
          <w:rStyle w:val="a3"/>
          <w:color w:val="000000"/>
          <w:shd w:val="clear" w:color="auto" w:fill="FFFFFF"/>
          <w:lang w:val="en-US"/>
        </w:rPr>
        <w:t>physics</w:t>
      </w:r>
      <w:r w:rsidRPr="00E82604">
        <w:rPr>
          <w:rStyle w:val="a3"/>
          <w:color w:val="000000"/>
          <w:shd w:val="clear" w:color="auto" w:fill="FFFFFF"/>
          <w:lang w:val="en-US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msu</w:t>
      </w:r>
      <w:r w:rsidRPr="00E82604">
        <w:rPr>
          <w:rStyle w:val="a3"/>
          <w:color w:val="000000"/>
          <w:shd w:val="clear" w:color="auto" w:fill="FFFFFF"/>
          <w:lang w:val="en-US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ru</w:t>
      </w:r>
    </w:p>
    <w:p w14:paraId="64DF3750" w14:textId="230EBCDD" w:rsidR="004F04BA" w:rsidRDefault="004F04BA" w:rsidP="00185101">
      <w:pPr>
        <w:ind w:firstLine="397"/>
        <w:jc w:val="both"/>
      </w:pPr>
      <w:r w:rsidRPr="00185101">
        <w:t xml:space="preserve">В </w:t>
      </w:r>
      <w:r w:rsidR="00000000" w:rsidRPr="00185101">
        <w:t xml:space="preserve">течение последних десятилетий </w:t>
      </w:r>
      <w:r w:rsidRPr="00185101">
        <w:t xml:space="preserve">физика экзотических адронов получила бурное развитие. Предсказанные ещё на заре кварковой модели экзотические состояния впервые были </w:t>
      </w:r>
      <w:r w:rsidR="00322916">
        <w:t>обнаружены</w:t>
      </w:r>
      <w:r w:rsidRPr="00185101">
        <w:t xml:space="preserve"> экспериментально. </w:t>
      </w:r>
      <w:r w:rsidR="0021707D" w:rsidRPr="00185101">
        <w:t xml:space="preserve">К таким состояниям относят комбинации кварков и антикварков, отличные от «обычных» </w:t>
      </w:r>
      <w:proofErr w:type="spellStart"/>
      <w:r w:rsidR="0021707D" w:rsidRPr="00185101">
        <w:t>трёхкварковых</w:t>
      </w:r>
      <w:proofErr w:type="spellEnd"/>
      <w:r w:rsidR="0021707D" w:rsidRPr="00185101">
        <w:t xml:space="preserve"> барионов и кварк</w:t>
      </w:r>
      <w:r w:rsidR="007B3B57">
        <w:t>-</w:t>
      </w:r>
      <w:proofErr w:type="spellStart"/>
      <w:r w:rsidR="0021707D" w:rsidRPr="00185101">
        <w:t>антикварковых</w:t>
      </w:r>
      <w:proofErr w:type="spellEnd"/>
      <w:r w:rsidR="0021707D" w:rsidRPr="00185101">
        <w:t xml:space="preserve"> мезонов. Простейшими экзотическими состояниями являются тетракварк </w:t>
      </w:r>
      <w:r w:rsidR="007B3B57" w:rsidRPr="00185101">
        <w:t>—</w:t>
      </w:r>
      <w:r w:rsidR="0021707D" w:rsidRPr="00185101">
        <w:t xml:space="preserve"> мезон, состоящий из двух кварков и антикварков, и </w:t>
      </w:r>
      <w:proofErr w:type="spellStart"/>
      <w:r w:rsidR="0021707D" w:rsidRPr="00185101">
        <w:t>пентакварк</w:t>
      </w:r>
      <w:proofErr w:type="spellEnd"/>
      <w:r w:rsidR="007B3B57">
        <w:t xml:space="preserve"> </w:t>
      </w:r>
      <w:r w:rsidR="007B3B57" w:rsidRPr="00185101">
        <w:t>—</w:t>
      </w:r>
      <w:r w:rsidR="007B3B57">
        <w:t xml:space="preserve"> </w:t>
      </w:r>
      <w:r w:rsidR="0021707D" w:rsidRPr="00185101">
        <w:t xml:space="preserve">барион, состоящий и четырёх кварков и одного антикварка. </w:t>
      </w:r>
      <w:r w:rsidRPr="00185101">
        <w:t>Первыми обнаруженными</w:t>
      </w:r>
      <w:r w:rsidR="0021707D" w:rsidRPr="00185101">
        <w:t xml:space="preserve"> явно экзотическими </w:t>
      </w:r>
      <w:r w:rsidRPr="00185101">
        <w:t xml:space="preserve">состояниями стали </w:t>
      </w:r>
      <w:r w:rsidR="0021707D" w:rsidRPr="00185101">
        <w:t xml:space="preserve">заряженные </w:t>
      </w:r>
      <w:r w:rsidRPr="00185101">
        <w:t xml:space="preserve">дважды тяжёлые тетракварки со скрытым очарованием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</m:oMath>
      <w:r w:rsidR="00185101">
        <w:t xml:space="preserve"> </w:t>
      </w:r>
      <w:r w:rsidR="00185101" w:rsidRPr="00185101">
        <w:t>[1]</w:t>
      </w:r>
      <w:r w:rsidR="0021707D" w:rsidRPr="00185101">
        <w:t xml:space="preserve">: </w:t>
      </w:r>
      <w:r w:rsidR="0021707D" w:rsidRPr="00185101">
        <w:t xml:space="preserve">для того, чтобы иметь отличный от нуля заряд, они должны, помимо очарованных кварка и антикварка, содержать также пару лёгких кварка и антикварка </w:t>
      </w:r>
      <w:r w:rsidR="0021707D" w:rsidRPr="00185101">
        <w:t>различных ароматов. Затем была обнаружена пара заряженных</w:t>
      </w:r>
      <w:r w:rsidR="00185101">
        <w:t xml:space="preserve"> дважды тяжёлых</w:t>
      </w:r>
      <w:r w:rsidR="0021707D" w:rsidRPr="00185101">
        <w:t xml:space="preserve"> пентакварков</w:t>
      </w:r>
      <w:r w:rsidR="00185101">
        <w:t xml:space="preserve"> также со скрытым очарованием</w:t>
      </w:r>
      <w:r w:rsidR="0021707D" w:rsidRPr="00185101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4380</m:t>
            </m:r>
          </m:e>
        </m:d>
        <m:r>
          <m:rPr>
            <m:sty m:val="p"/>
          </m:rPr>
          <w:rPr>
            <w:rFonts w:ascii="Cambria Math" w:hAnsi="Cambria Math"/>
          </w:rPr>
          <m:t>,(4450)</m:t>
        </m:r>
      </m:oMath>
      <w:r w:rsidR="00185101" w:rsidRPr="00185101">
        <w:t xml:space="preserve"> [2]</w:t>
      </w:r>
      <w:r w:rsidR="0021707D" w:rsidRPr="00185101">
        <w:t>.</w:t>
      </w:r>
      <w:r w:rsidR="00185101" w:rsidRPr="00185101">
        <w:t xml:space="preserve"> На данный момент несколько десятков состояний находятся в статусе либо подтверждённых экзотических, либо кандидатов в таковые</w:t>
      </w:r>
      <w:r w:rsidR="00185101">
        <w:t xml:space="preserve"> (не</w:t>
      </w:r>
      <w:r w:rsidR="008B65EE">
        <w:t xml:space="preserve">достаточно </w:t>
      </w:r>
      <w:r w:rsidR="00185101">
        <w:t>статистики)</w:t>
      </w:r>
      <w:r w:rsidR="00185101" w:rsidRPr="00185101">
        <w:t>.</w:t>
      </w:r>
    </w:p>
    <w:p w14:paraId="09A671B7" w14:textId="3C558CC3" w:rsidR="00185101" w:rsidRDefault="00185101" w:rsidP="007B3B57">
      <w:pPr>
        <w:ind w:firstLine="397"/>
        <w:jc w:val="both"/>
      </w:pPr>
      <w:r>
        <w:t xml:space="preserve">Тетракварки достоверно обнаружены как в секторе дважды тяжёлых (уже упомянутый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</m:oMath>
      <w:r>
        <w:t xml:space="preserve"> </w:t>
      </w:r>
      <w:r w:rsidRPr="00185101">
        <w:t xml:space="preserve">[1] </w:t>
      </w:r>
      <w:r>
        <w:t>и другие</w:t>
      </w:r>
      <w:r w:rsidR="00C71B6C" w:rsidRPr="00C71B6C">
        <w:t xml:space="preserve"> [3]</w:t>
      </w:r>
      <w:r>
        <w:t>), так и в секторе четырежды тяжёлых (</w:t>
      </w:r>
      <w:proofErr w:type="gramStart"/>
      <w:r>
        <w:rPr>
          <w:lang w:val="en-US"/>
        </w:rPr>
        <w:t>X</w:t>
      </w:r>
      <w:r w:rsidRPr="00185101">
        <w:t>(</w:t>
      </w:r>
      <w:proofErr w:type="gramEnd"/>
      <w:r w:rsidRPr="00185101">
        <w:t>6900)</w:t>
      </w:r>
      <w:r w:rsidR="005C6D9A" w:rsidRPr="005C6D9A">
        <w:t xml:space="preserve"> </w:t>
      </w:r>
      <w:r>
        <w:t>и другие</w:t>
      </w:r>
      <w:r w:rsidR="005C6D9A" w:rsidRPr="005C6D9A">
        <w:t xml:space="preserve"> </w:t>
      </w:r>
      <w:r w:rsidR="005C6D9A" w:rsidRPr="005C6D9A">
        <w:t>[</w:t>
      </w:r>
      <w:r w:rsidR="00C71B6C" w:rsidRPr="00C71B6C">
        <w:t>4-6</w:t>
      </w:r>
      <w:r w:rsidR="005C6D9A" w:rsidRPr="005C6D9A">
        <w:t>]</w:t>
      </w:r>
      <w:r>
        <w:t xml:space="preserve">). </w:t>
      </w:r>
      <w:r w:rsidR="005C6D9A">
        <w:t>Более того, среди дважды тяжёлых есть как состояния, содержащие два тяжёлых кварка</w:t>
      </w:r>
      <w:r w:rsidR="008B65EE" w:rsidRPr="008B65EE">
        <w:t xml:space="preserve"> [</w:t>
      </w:r>
      <w:r w:rsidR="00C71B6C" w:rsidRPr="00C71B6C">
        <w:t>3</w:t>
      </w:r>
      <w:r w:rsidR="008B65EE" w:rsidRPr="008B65EE">
        <w:t>]</w:t>
      </w:r>
      <w:r w:rsidR="005C6D9A">
        <w:t>, так и состояния, содержащие</w:t>
      </w:r>
      <w:r w:rsidR="007B3B57">
        <w:t xml:space="preserve"> </w:t>
      </w:r>
      <w:r w:rsidR="005C6D9A">
        <w:t>тяжелы</w:t>
      </w:r>
      <w:r w:rsidR="007B3B57">
        <w:t>е</w:t>
      </w:r>
      <w:r w:rsidR="005C6D9A">
        <w:t xml:space="preserve"> кварк и антикварк</w:t>
      </w:r>
      <w:r w:rsidR="008B65EE">
        <w:t xml:space="preserve"> </w:t>
      </w:r>
      <w:r w:rsidR="008B65EE" w:rsidRPr="008B65EE">
        <w:t>[1]</w:t>
      </w:r>
      <w:r w:rsidR="005C6D9A">
        <w:t xml:space="preserve">. </w:t>
      </w:r>
      <w:r w:rsidR="007B3B57">
        <w:t>Всё это</w:t>
      </w:r>
      <w:r>
        <w:t xml:space="preserve"> даёт основание полагать, что </w:t>
      </w:r>
      <w:r w:rsidR="005C6D9A">
        <w:t xml:space="preserve">в ближайшем будущем можно ожидать </w:t>
      </w:r>
      <w:r w:rsidR="007B3B57">
        <w:t>экспериментальн</w:t>
      </w:r>
      <w:r w:rsidR="002430FF">
        <w:t>ого</w:t>
      </w:r>
      <w:r w:rsidR="007B3B57">
        <w:t xml:space="preserve"> </w:t>
      </w:r>
      <w:r w:rsidR="002430FF">
        <w:t>прогресса</w:t>
      </w:r>
      <w:r w:rsidR="005C6D9A">
        <w:t xml:space="preserve"> </w:t>
      </w:r>
      <w:r>
        <w:t xml:space="preserve">и в секторе трижды тяжёлых </w:t>
      </w:r>
      <w:r w:rsidR="005C6D9A">
        <w:t>тетракварков.</w:t>
      </w:r>
    </w:p>
    <w:p w14:paraId="1527680E" w14:textId="59D0CD12" w:rsidR="00B814BC" w:rsidRPr="006C5E78" w:rsidRDefault="005C6D9A" w:rsidP="006C5E78">
      <w:pPr>
        <w:ind w:firstLine="397"/>
        <w:jc w:val="both"/>
      </w:pPr>
      <w:r w:rsidRPr="007B3B57">
        <w:t>В данном докладе представлены результаты исследования трижды тяжёлых тетракварков</w:t>
      </w:r>
      <w:r w:rsidR="007B3B57" w:rsidRPr="007B3B57">
        <w:t xml:space="preserve"> </w:t>
      </w:r>
      <m:oMath>
        <m:r>
          <m:rPr>
            <m:sty m:val="p"/>
          </m:rPr>
          <w:rPr>
            <w:rFonts w:ascii="Cambria Math" w:hAnsi="Cambria Math"/>
          </w:rPr>
          <m:t>QQ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Qq</m:t>
            </m:r>
          </m:e>
        </m:bar>
      </m:oMath>
      <w:r w:rsidR="007B3B57" w:rsidRPr="007B3B57">
        <w:t xml:space="preserve">, </w:t>
      </w:r>
      <m:oMath>
        <m:r>
          <m:rPr>
            <m:sty m:val="p"/>
          </m:rPr>
          <w:rPr>
            <w:rFonts w:ascii="Cambria Math" w:hAnsi="Cambria Math"/>
          </w:rPr>
          <m:t>qQ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QQ</m:t>
            </m:r>
          </m:e>
        </m:bar>
      </m:oMath>
      <w:r w:rsidRPr="007B3B57">
        <w:t xml:space="preserve">. </w:t>
      </w:r>
      <w:r w:rsidR="008B65EE">
        <w:t>И</w:t>
      </w:r>
      <w:r w:rsidRPr="007B3B57">
        <w:t>сследованы все возможные кварковые составы</w:t>
      </w:r>
      <w:r w:rsidR="007B3B57" w:rsidRPr="007B3B57">
        <w:t xml:space="preserve"> </w:t>
      </w:r>
      <w:r w:rsidR="007B3B57" w:rsidRPr="007B3B57">
        <w:t>(</w:t>
      </w:r>
      <m:oMath>
        <m:r>
          <m:rPr>
            <m:sty m:val="p"/>
          </m:rP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=c,b</m:t>
        </m:r>
      </m:oMath>
      <w:r w:rsidR="00E90740" w:rsidRPr="00E9074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u,d,s</m:t>
        </m:r>
      </m:oMath>
      <w:r w:rsidR="007B3B57" w:rsidRPr="007B3B57">
        <w:t>)</w:t>
      </w:r>
      <w:r w:rsidR="007B3B57" w:rsidRPr="007B3B57">
        <w:t xml:space="preserve"> </w:t>
      </w:r>
      <w:r w:rsidRPr="007B3B57">
        <w:t>в основн</w:t>
      </w:r>
      <w:r w:rsidR="008B65EE">
        <w:t>ых</w:t>
      </w:r>
      <w:r w:rsidRPr="007B3B57">
        <w:t xml:space="preserve"> состояни</w:t>
      </w:r>
      <w:r w:rsidR="008B65EE">
        <w:t>ях</w:t>
      </w:r>
      <w:r w:rsidR="008B65EE" w:rsidRPr="008B65EE">
        <w:t xml:space="preserve"> (1</w:t>
      </w:r>
      <w:r w:rsidR="008B65EE">
        <w:rPr>
          <w:lang w:val="en-US"/>
        </w:rPr>
        <w:t>S</w:t>
      </w:r>
      <w:r w:rsidR="008B65EE" w:rsidRPr="008B65EE">
        <w:t>)</w:t>
      </w:r>
      <w:r w:rsidRPr="007B3B57">
        <w:t>.</w:t>
      </w:r>
      <w:r w:rsidR="008B65EE">
        <w:t xml:space="preserve"> В рамках </w:t>
      </w:r>
      <w:proofErr w:type="spellStart"/>
      <w:r w:rsidR="008B65EE">
        <w:t>дикварк</w:t>
      </w:r>
      <w:proofErr w:type="spellEnd"/>
      <w:r w:rsidR="008B65EE">
        <w:t>—</w:t>
      </w:r>
      <w:proofErr w:type="spellStart"/>
      <w:r w:rsidR="008B65EE">
        <w:t>антидикварковой</w:t>
      </w:r>
      <w:proofErr w:type="spellEnd"/>
      <w:r w:rsidR="008B65EE">
        <w:t xml:space="preserve"> картины тетракварков</w:t>
      </w:r>
      <w:r w:rsidR="008B65EE">
        <w:t xml:space="preserve"> были проведены расчёты масс в Релятивистской Кварковой Модели. </w:t>
      </w:r>
      <w:r w:rsidR="002430FF">
        <w:t xml:space="preserve">Ранее данная модель была успешно использована для </w:t>
      </w:r>
      <w:r w:rsidR="00642C69">
        <w:t xml:space="preserve">расчётов спектров масс четырежды тяжёлых тетракварков </w:t>
      </w:r>
      <w:r w:rsidR="00642C69" w:rsidRPr="00642C69">
        <w:t>[7</w:t>
      </w:r>
      <w:r w:rsidR="00642C69" w:rsidRPr="00D125BB">
        <w:t>-</w:t>
      </w:r>
      <w:r w:rsidR="00D125BB" w:rsidRPr="00D125BB">
        <w:t>10</w:t>
      </w:r>
      <w:r w:rsidR="00642C69" w:rsidRPr="00D125BB">
        <w:t xml:space="preserve">]. </w:t>
      </w:r>
      <w:r w:rsidR="008B65EE" w:rsidRPr="00D125BB">
        <w:t xml:space="preserve">Связанное состояние кварков в дикварке и </w:t>
      </w:r>
      <w:proofErr w:type="spellStart"/>
      <w:r w:rsidR="008B65EE" w:rsidRPr="00D125BB">
        <w:t>дикварков</w:t>
      </w:r>
      <w:proofErr w:type="spellEnd"/>
      <w:r w:rsidR="008B65EE" w:rsidRPr="00D125BB">
        <w:t xml:space="preserve"> в тетракварке описывается </w:t>
      </w:r>
      <w:r w:rsidR="002430FF" w:rsidRPr="00D125BB">
        <w:t>с помощью численного решения</w:t>
      </w:r>
      <w:r w:rsidR="008B65EE" w:rsidRPr="00D125BB">
        <w:t xml:space="preserve"> квазипотенциально</w:t>
      </w:r>
      <w:r w:rsidR="002430FF" w:rsidRPr="00D125BB">
        <w:t>го</w:t>
      </w:r>
      <w:r w:rsidR="008B65EE" w:rsidRPr="00D125BB">
        <w:t xml:space="preserve"> уравнени</w:t>
      </w:r>
      <w:r w:rsidR="002430FF" w:rsidRPr="00D125BB">
        <w:t>я</w:t>
      </w:r>
      <w:r w:rsidR="008B65EE" w:rsidRPr="00D125BB">
        <w:t xml:space="preserve"> [</w:t>
      </w:r>
      <w:r w:rsidR="00642C69" w:rsidRPr="00D125BB">
        <w:t>1</w:t>
      </w:r>
      <w:r w:rsidR="00D125BB" w:rsidRPr="00D125BB">
        <w:t>1</w:t>
      </w:r>
      <w:r w:rsidR="008B65EE" w:rsidRPr="00D125BB">
        <w:t>]. Важной особенностью модели является последовательный учёт релятивистских эффектов. Квазипотенциалы взаимодействия кварков в дикварке и дикварка и антидидкварка в тетракварке построены без использования нерелятивистского разложения. Все параметры и предположения модели (массы кварков и т. д.) были определены в предыдущих работах по исследованию свойств мезонов и барионов [</w:t>
      </w:r>
      <w:r w:rsidR="00642C69" w:rsidRPr="00D125BB">
        <w:t>1</w:t>
      </w:r>
      <w:r w:rsidR="00D125BB" w:rsidRPr="00D125BB">
        <w:t>2</w:t>
      </w:r>
      <w:r w:rsidR="008B65EE" w:rsidRPr="00D125BB">
        <w:t xml:space="preserve">]. При проведении вычислений учитывается конечный размер </w:t>
      </w:r>
      <w:proofErr w:type="spellStart"/>
      <w:r w:rsidR="008B65EE" w:rsidRPr="00D125BB">
        <w:t>дикварков</w:t>
      </w:r>
      <w:proofErr w:type="spellEnd"/>
      <w:r w:rsidR="008B65EE" w:rsidRPr="00D125BB">
        <w:t xml:space="preserve"> с помощью рассчитанного форм-фактора дикварк-глюонного взаимодействия. Такой учет внутренней структуры дикварка делает расчёты более физически корректными</w:t>
      </w:r>
      <w:r w:rsidR="006144A2" w:rsidRPr="00D125BB">
        <w:t xml:space="preserve">. </w:t>
      </w:r>
      <w:r w:rsidR="008B65EE" w:rsidRPr="00D125BB">
        <w:t xml:space="preserve">Полученные </w:t>
      </w:r>
      <w:r w:rsidR="006144A2" w:rsidRPr="00D125BB">
        <w:t>массы</w:t>
      </w:r>
      <w:r w:rsidR="008B65EE" w:rsidRPr="00D125BB">
        <w:t xml:space="preserve"> сравн</w:t>
      </w:r>
      <w:r w:rsidR="002430FF" w:rsidRPr="00D125BB">
        <w:t>иваются</w:t>
      </w:r>
      <w:r w:rsidR="008B65EE" w:rsidRPr="00D125BB">
        <w:t xml:space="preserve"> с порогами распадов на пару мезонов (тяжёлый и </w:t>
      </w:r>
      <w:proofErr w:type="spellStart"/>
      <w:r w:rsidR="008B65EE" w:rsidRPr="00D125BB">
        <w:t>тяжёло</w:t>
      </w:r>
      <w:proofErr w:type="spellEnd"/>
      <w:r w:rsidR="008B65EE" w:rsidRPr="00D125BB">
        <w:t>-</w:t>
      </w:r>
      <w:r w:rsidR="008B65EE">
        <w:t>лёгкий).</w:t>
      </w:r>
      <w:r w:rsidR="008A5EBC">
        <w:t xml:space="preserve"> </w:t>
      </w:r>
      <w:r w:rsidR="00727C29">
        <w:t xml:space="preserve">Состояния тетракварков, лежащие под такими порогами, не могут распадаться за счёт развала на пару мезонов. И поэтому они будут иметь узкую ширину. </w:t>
      </w:r>
      <w:r w:rsidR="001A137A">
        <w:t xml:space="preserve">Распады тетракварков, лежащих чуть выше порога, также будут кинематически подавлены. </w:t>
      </w:r>
      <w:r w:rsidR="008A5EBC">
        <w:t xml:space="preserve">На основании </w:t>
      </w:r>
      <w:r w:rsidR="001A137A">
        <w:t xml:space="preserve">такого анализа </w:t>
      </w:r>
      <w:r w:rsidR="002430FF">
        <w:t>делаются</w:t>
      </w:r>
      <w:r w:rsidR="008A5EBC">
        <w:t xml:space="preserve"> выводы о том, какие состояния вероятно являются более долгоживущими, а потому предпочтительными для экспериментальных поисков. </w:t>
      </w:r>
    </w:p>
    <w:p w14:paraId="71827BF1" w14:textId="77777777" w:rsidR="00B814BC" w:rsidRPr="00E82604" w:rsidRDefault="00000000">
      <w:pPr>
        <w:ind w:firstLine="397"/>
        <w:jc w:val="center"/>
      </w:pPr>
      <w:r w:rsidRPr="00E82604">
        <w:rPr>
          <w:b/>
        </w:rPr>
        <w:lastRenderedPageBreak/>
        <w:t>Примечание</w:t>
      </w:r>
    </w:p>
    <w:p w14:paraId="35D9C303" w14:textId="77777777" w:rsidR="00B814BC" w:rsidRDefault="00000000">
      <w:pPr>
        <w:ind w:firstLine="397"/>
        <w:rPr>
          <w:bCs/>
        </w:rPr>
      </w:pPr>
      <w:r w:rsidRPr="00E82604">
        <w:rPr>
          <w:bCs/>
        </w:rPr>
        <w:t xml:space="preserve">Автор выражает </w:t>
      </w:r>
      <w:r w:rsidR="00E82604" w:rsidRPr="00E82604">
        <w:rPr>
          <w:bCs/>
        </w:rPr>
        <w:t xml:space="preserve">благодарность </w:t>
      </w:r>
      <w:r w:rsidR="00203B1A" w:rsidRPr="00203B1A">
        <w:rPr>
          <w:bCs/>
        </w:rPr>
        <w:t>своему научному руководителю, профессору кафедры Квантовой Теории и Физики Высоких Энергий Физического факультета МГУ</w:t>
      </w:r>
      <w:r w:rsidR="00203B1A">
        <w:rPr>
          <w:bCs/>
        </w:rPr>
        <w:t xml:space="preserve"> </w:t>
      </w:r>
      <w:r w:rsidR="00E82604" w:rsidRPr="00E82604">
        <w:rPr>
          <w:bCs/>
        </w:rPr>
        <w:t>Галкину</w:t>
      </w:r>
      <w:r w:rsidRPr="00E82604">
        <w:rPr>
          <w:bCs/>
        </w:rPr>
        <w:t xml:space="preserve"> В.О. за сотрудничество и помощь в подготовке доклада</w:t>
      </w:r>
      <w:r w:rsidR="00203B1A">
        <w:rPr>
          <w:bCs/>
        </w:rPr>
        <w:t>. Работа выполнена при поддержке</w:t>
      </w:r>
      <w:r w:rsidRPr="00E82604">
        <w:rPr>
          <w:bCs/>
        </w:rPr>
        <w:t xml:space="preserve"> Фонд</w:t>
      </w:r>
      <w:r w:rsidR="00203B1A">
        <w:rPr>
          <w:bCs/>
        </w:rPr>
        <w:t>а</w:t>
      </w:r>
      <w:r w:rsidRPr="00E82604">
        <w:rPr>
          <w:bCs/>
        </w:rPr>
        <w:t xml:space="preserve"> развития теоретической физики и математики «БАЗИС»</w:t>
      </w:r>
      <w:r w:rsidR="00203B1A">
        <w:rPr>
          <w:bCs/>
        </w:rPr>
        <w:t>, грант</w:t>
      </w:r>
      <w:r w:rsidRPr="00E82604">
        <w:rPr>
          <w:bCs/>
        </w:rPr>
        <w:t xml:space="preserve"> </w:t>
      </w:r>
      <w:r w:rsidR="00203B1A">
        <w:rPr>
          <w:bCs/>
        </w:rPr>
        <w:t xml:space="preserve">№ </w:t>
      </w:r>
      <w:r w:rsidR="00694C09" w:rsidRPr="00694C09">
        <w:rPr>
          <w:bCs/>
        </w:rPr>
        <w:t>22-2-10-3-1</w:t>
      </w:r>
      <w:r w:rsidRPr="00E82604">
        <w:rPr>
          <w:bCs/>
        </w:rPr>
        <w:t>.</w:t>
      </w:r>
    </w:p>
    <w:p w14:paraId="7920229F" w14:textId="77777777" w:rsidR="00727C29" w:rsidRPr="00E82604" w:rsidRDefault="00727C29">
      <w:pPr>
        <w:ind w:firstLine="397"/>
      </w:pPr>
    </w:p>
    <w:p w14:paraId="7E1B2AAB" w14:textId="77777777" w:rsidR="00B814BC" w:rsidRDefault="00000000">
      <w:pPr>
        <w:ind w:firstLine="426"/>
        <w:jc w:val="center"/>
        <w:rPr>
          <w:color w:val="000000"/>
        </w:rPr>
      </w:pPr>
      <w:r>
        <w:rPr>
          <w:b/>
          <w:color w:val="000000"/>
          <w:shd w:val="clear" w:color="auto" w:fill="FFFFFF"/>
        </w:rPr>
        <w:t>Литература</w:t>
      </w:r>
    </w:p>
    <w:p w14:paraId="283FB891" w14:textId="4FC3EEF8" w:rsidR="006B46D3" w:rsidRPr="00126893" w:rsidRDefault="00126893" w:rsidP="00126893">
      <w:pPr>
        <w:pStyle w:val="a9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 w:rsidRPr="00126893">
        <w:rPr>
          <w:iCs/>
          <w:color w:val="000000"/>
          <w:lang w:val="en-US"/>
        </w:rPr>
        <w:t xml:space="preserve">[Belle Collaboration] Liu Z. Q. et al. Study of </w:t>
      </w:r>
      <m:oMath>
        <m:sSup>
          <m:sSupPr>
            <m:ctrlPr>
              <w:rPr>
                <w:rFonts w:ascii="Cambria Math" w:hAnsi="Cambria Math"/>
                <w:iCs/>
                <w:color w:val="00000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iCs/>
                <w:color w:val="00000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hint="eastAsia"/>
            <w:color w:val="000000"/>
            <w:lang w:val="en-US"/>
          </w:rPr>
          <m:t>→</m:t>
        </m:r>
        <m:sSup>
          <m:sSupPr>
            <m:ctrlPr>
              <w:rPr>
                <w:rFonts w:ascii="Cambria Math" w:hAnsi="Cambria Math"/>
                <w:iCs/>
                <w:color w:val="00000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iCs/>
                <w:color w:val="00000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iCs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J/</m:t>
        </m:r>
        <m:r>
          <m:rPr>
            <m:sty m:val="p"/>
          </m:rPr>
          <w:rPr>
            <w:rFonts w:ascii="Cambria Math" w:hAnsi="Cambria Math"/>
            <w:color w:val="000000"/>
          </w:rPr>
          <m:t>ψ</m:t>
        </m:r>
        <m:r>
          <m:rPr>
            <m:sty m:val="p"/>
          </m:rPr>
          <w:rPr>
            <w:rFonts w:ascii="Cambria Math" w:hAnsi="Cambria Math"/>
            <w:color w:val="000000"/>
            <w:lang w:val="en-US"/>
          </w:rPr>
          <m:t xml:space="preserve"> </m:t>
        </m:r>
      </m:oMath>
      <w:r w:rsidRPr="00126893">
        <w:rPr>
          <w:iCs/>
          <w:color w:val="000000"/>
          <w:lang w:val="en-US"/>
        </w:rPr>
        <w:t xml:space="preserve"> </w:t>
      </w:r>
      <w:r w:rsidRPr="00126893">
        <w:rPr>
          <w:iCs/>
          <w:color w:val="000000"/>
          <w:lang w:val="en-US"/>
        </w:rPr>
        <w:t>and Observation of a Charged Charmoniumlike State at Belle // Phys. Rev. Lett. 2013, vol. 110, p. 252002.</w:t>
      </w:r>
    </w:p>
    <w:p w14:paraId="44E112FC" w14:textId="537488F8" w:rsidR="008A5EBC" w:rsidRDefault="006B46D3" w:rsidP="00F92789">
      <w:pPr>
        <w:pStyle w:val="a9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 w:rsidRPr="00203450">
        <w:rPr>
          <w:iCs/>
          <w:color w:val="000000"/>
          <w:szCs w:val="20"/>
          <w:lang w:val="en-US"/>
        </w:rPr>
        <w:t>[LHCb</w:t>
      </w:r>
      <w:r w:rsidRPr="00041551">
        <w:rPr>
          <w:iCs/>
          <w:color w:val="000000"/>
          <w:szCs w:val="20"/>
          <w:lang w:val="en-US"/>
        </w:rPr>
        <w:t xml:space="preserve"> Collaboration] Aaij R. et al. Observation of </w:t>
      </w:r>
      <m:oMath>
        <m:f>
          <m:fPr>
            <m:type m:val="lin"/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ψ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Cs w:val="20"/>
            <w:lang w:val="en-US"/>
          </w:rPr>
          <m:t>p</m:t>
        </m:r>
      </m:oMath>
      <w:r w:rsidRPr="00041551">
        <w:rPr>
          <w:iCs/>
          <w:color w:val="000000"/>
          <w:szCs w:val="20"/>
          <w:lang w:val="en-US"/>
        </w:rPr>
        <w:t xml:space="preserve"> Resonances Consistent with Pentaquark States in </w:t>
      </w:r>
      <m:oMath>
        <m:sSubSup>
          <m:sSubSupPr>
            <m:ctrlPr>
              <w:rPr>
                <w:rFonts w:ascii="Cambria Math" w:hAnsi="Cambria Math"/>
                <w:iCs/>
                <w:color w:val="000000"/>
                <w:szCs w:val="20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0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0"/>
                <w:lang w:val="en-US"/>
              </w:rPr>
              <m:t>b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Cs w:val="20"/>
                <w:lang w:val="en-US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 w:hint="eastAsia"/>
            <w:color w:val="000000"/>
            <w:szCs w:val="20"/>
            <w:lang w:val="en-US"/>
          </w:rPr>
          <m:t>→</m:t>
        </m:r>
        <m:f>
          <m:fPr>
            <m:type m:val="lin"/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ψ</m:t>
            </m:r>
          </m:den>
        </m:f>
        <m:sSup>
          <m:sSupPr>
            <m:ctrlPr>
              <w:rPr>
                <w:rFonts w:ascii="Cambria Math" w:hAnsi="Cambria Math"/>
                <w:iCs/>
                <w:color w:val="00000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0"/>
                <w:lang w:val="en-US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Cs w:val="20"/>
                <w:lang w:val="en-US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Cs w:val="20"/>
            <w:lang w:val="en-US"/>
          </w:rPr>
          <m:t>p</m:t>
        </m:r>
      </m:oMath>
      <w:r w:rsidR="00F92789" w:rsidRPr="00F92789">
        <w:rPr>
          <w:iCs/>
          <w:color w:val="000000"/>
          <w:szCs w:val="20"/>
          <w:lang w:val="en-US"/>
        </w:rPr>
        <w:t xml:space="preserve"> </w:t>
      </w:r>
      <w:r w:rsidRPr="00F92789">
        <w:rPr>
          <w:iCs/>
          <w:color w:val="000000"/>
          <w:szCs w:val="20"/>
          <w:lang w:val="en-US"/>
        </w:rPr>
        <w:t xml:space="preserve">Decays // </w:t>
      </w:r>
      <w:r w:rsidRPr="00F92789">
        <w:rPr>
          <w:iCs/>
          <w:color w:val="000000"/>
          <w:lang w:val="en-US" w:eastAsia="en-US"/>
        </w:rPr>
        <w:t xml:space="preserve">Phys. Rev. </w:t>
      </w:r>
      <w:r w:rsidR="00203450">
        <w:rPr>
          <w:iCs/>
          <w:color w:val="000000"/>
          <w:lang w:val="en-US" w:eastAsia="en-US"/>
        </w:rPr>
        <w:t>Lett.</w:t>
      </w:r>
      <w:r w:rsidRPr="00F92789">
        <w:rPr>
          <w:iCs/>
          <w:color w:val="000000"/>
          <w:lang w:val="en-US" w:eastAsia="en-US"/>
        </w:rPr>
        <w:t xml:space="preserve"> 20</w:t>
      </w:r>
      <w:r w:rsidRPr="00F92789">
        <w:rPr>
          <w:iCs/>
          <w:color w:val="000000"/>
          <w:lang w:val="en-US" w:eastAsia="en-US"/>
        </w:rPr>
        <w:t>15</w:t>
      </w:r>
      <w:r w:rsidRPr="00F92789">
        <w:rPr>
          <w:iCs/>
          <w:color w:val="000000"/>
          <w:lang w:val="en-US" w:eastAsia="en-US"/>
        </w:rPr>
        <w:t xml:space="preserve">, vol. </w:t>
      </w:r>
      <w:r w:rsidRPr="00F92789">
        <w:rPr>
          <w:iCs/>
          <w:color w:val="000000"/>
          <w:lang w:val="en-US" w:eastAsia="en-US"/>
        </w:rPr>
        <w:t>115</w:t>
      </w:r>
      <w:r w:rsidRPr="00F92789">
        <w:rPr>
          <w:iCs/>
          <w:color w:val="000000"/>
          <w:lang w:val="en-US" w:eastAsia="en-US"/>
        </w:rPr>
        <w:t xml:space="preserve">, p. </w:t>
      </w:r>
      <w:r w:rsidRPr="00F92789">
        <w:rPr>
          <w:iCs/>
          <w:color w:val="000000"/>
          <w:lang w:val="en-US" w:eastAsia="en-US"/>
        </w:rPr>
        <w:t>072001</w:t>
      </w:r>
      <w:r w:rsidRPr="00F92789">
        <w:rPr>
          <w:iCs/>
          <w:color w:val="000000"/>
          <w:lang w:val="en-US" w:eastAsia="en-US"/>
        </w:rPr>
        <w:t>.</w:t>
      </w:r>
    </w:p>
    <w:p w14:paraId="019F25A9" w14:textId="3A581929" w:rsidR="00C71B6C" w:rsidRPr="00C71B6C" w:rsidRDefault="00C71B6C" w:rsidP="00C71B6C">
      <w:pPr>
        <w:pStyle w:val="a9"/>
        <w:numPr>
          <w:ilvl w:val="0"/>
          <w:numId w:val="1"/>
        </w:numPr>
        <w:tabs>
          <w:tab w:val="clear" w:pos="-283"/>
          <w:tab w:val="num" w:pos="0"/>
        </w:tabs>
        <w:ind w:left="709" w:hanging="283"/>
        <w:rPr>
          <w:iCs/>
          <w:color w:val="000000"/>
          <w:lang w:val="en-US"/>
        </w:rPr>
      </w:pPr>
      <w:r w:rsidRPr="00203450">
        <w:rPr>
          <w:iCs/>
          <w:color w:val="000000"/>
          <w:szCs w:val="20"/>
          <w:lang w:val="en-US"/>
        </w:rPr>
        <w:t>[LHCb</w:t>
      </w:r>
      <w:r w:rsidRPr="00041551">
        <w:rPr>
          <w:iCs/>
          <w:color w:val="000000"/>
          <w:szCs w:val="20"/>
          <w:lang w:val="en-US"/>
        </w:rPr>
        <w:t xml:space="preserve"> Collaboration] Aaij R. et al.</w:t>
      </w:r>
      <w:r>
        <w:rPr>
          <w:iCs/>
          <w:color w:val="000000"/>
          <w:szCs w:val="20"/>
          <w:lang w:val="en-US"/>
        </w:rPr>
        <w:t xml:space="preserve"> </w:t>
      </w:r>
      <w:r w:rsidRPr="00C71B6C">
        <w:rPr>
          <w:iCs/>
          <w:color w:val="000000"/>
          <w:szCs w:val="20"/>
          <w:lang w:val="en-US"/>
        </w:rPr>
        <w:t>Observation of an exotic narrow doubly charmed tetraquark</w:t>
      </w:r>
      <w:r>
        <w:rPr>
          <w:iCs/>
          <w:color w:val="000000"/>
          <w:szCs w:val="20"/>
          <w:lang w:val="en-US"/>
        </w:rPr>
        <w:t xml:space="preserve"> // Nat. Phys. 2022, vol. 18, p.751-754.</w:t>
      </w:r>
      <w:r w:rsidR="006C5E78">
        <w:rPr>
          <w:iCs/>
          <w:color w:val="000000"/>
          <w:szCs w:val="20"/>
          <w:lang w:val="en-US"/>
        </w:rPr>
        <w:t>x</w:t>
      </w:r>
    </w:p>
    <w:p w14:paraId="1FE36487" w14:textId="77777777" w:rsidR="008A5EBC" w:rsidRPr="00041551" w:rsidRDefault="008A5EBC" w:rsidP="008A5EBC">
      <w:pPr>
        <w:pStyle w:val="a9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 w:rsidRPr="00041551">
        <w:rPr>
          <w:iCs/>
          <w:color w:val="000000"/>
          <w:szCs w:val="20"/>
          <w:lang w:val="en-US"/>
        </w:rPr>
        <w:t xml:space="preserve">[LHCb Collaboration] Aaij R. et al. Observation of structure in the </w:t>
      </w:r>
      <m:oMath>
        <m:f>
          <m:fPr>
            <m:type m:val="lin"/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ψ</m:t>
            </m:r>
          </m:den>
        </m:f>
      </m:oMath>
      <w:r w:rsidRPr="00041551">
        <w:rPr>
          <w:iCs/>
          <w:color w:val="000000"/>
          <w:szCs w:val="20"/>
          <w:lang w:val="en-US"/>
        </w:rPr>
        <w:t>-pair mass spectrum // Sci. Bull. 2020,</w:t>
      </w:r>
      <w:r w:rsidRPr="00041551">
        <w:rPr>
          <w:iCs/>
          <w:color w:val="000000"/>
          <w:lang w:val="en-US"/>
        </w:rPr>
        <w:t xml:space="preserve"> vol. 65, p. 1983-1993.</w:t>
      </w:r>
    </w:p>
    <w:p w14:paraId="57D7B4DF" w14:textId="2E153CF6" w:rsidR="00F92789" w:rsidRPr="00642C69" w:rsidRDefault="00F92789" w:rsidP="00F92789">
      <w:pPr>
        <w:pStyle w:val="a9"/>
        <w:numPr>
          <w:ilvl w:val="0"/>
          <w:numId w:val="1"/>
        </w:numPr>
        <w:tabs>
          <w:tab w:val="clear" w:pos="-283"/>
          <w:tab w:val="num" w:pos="0"/>
        </w:tabs>
        <w:ind w:left="709" w:hanging="283"/>
        <w:rPr>
          <w:iCs/>
          <w:color w:val="000000"/>
          <w:lang w:val="en-US"/>
        </w:rPr>
      </w:pPr>
      <w:r w:rsidRPr="00F92789">
        <w:rPr>
          <w:iCs/>
          <w:color w:val="000000"/>
          <w:szCs w:val="20"/>
          <w:lang w:val="en-US"/>
        </w:rPr>
        <w:t xml:space="preserve">[CMS Collaboration] Observation of New Structures in the </w:t>
      </w:r>
      <m:oMath>
        <m:f>
          <m:fPr>
            <m:type m:val="lin"/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ψ</m:t>
            </m:r>
          </m:den>
        </m:f>
        <m:f>
          <m:fPr>
            <m:type m:val="lin"/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ψ</m:t>
            </m:r>
          </m:den>
        </m:f>
      </m:oMath>
      <w:r w:rsidRPr="00F92789">
        <w:rPr>
          <w:iCs/>
          <w:color w:val="000000"/>
          <w:szCs w:val="20"/>
          <w:lang w:val="en-US"/>
        </w:rPr>
        <w:t xml:space="preserve"> Mass Spectrum in </w:t>
      </w:r>
      <m:oMath>
        <m:r>
          <m:rPr>
            <m:sty m:val="p"/>
          </m:rPr>
          <w:rPr>
            <w:rFonts w:ascii="Cambria Math" w:hAnsi="Cambria Math"/>
            <w:lang w:val="en-US"/>
          </w:rPr>
          <m:t>pp</m:t>
        </m:r>
      </m:oMath>
      <w:r w:rsidRPr="00F92789">
        <w:rPr>
          <w:iCs/>
          <w:color w:val="000000"/>
          <w:szCs w:val="20"/>
          <w:lang w:val="en-US"/>
        </w:rPr>
        <w:t xml:space="preserve"> Collisions at </w:t>
      </w:r>
      <m:oMath>
        <m:r>
          <m:rPr>
            <m:sty m:val="p"/>
          </m:rPr>
          <w:rPr>
            <w:rFonts w:ascii="Cambria Math" w:hAnsi="Cambria Math"/>
            <w:lang w:val="en-US"/>
          </w:rPr>
          <m:t>√s=13</m:t>
        </m:r>
      </m:oMath>
      <w:r w:rsidRPr="00F92789">
        <w:rPr>
          <w:iCs/>
          <w:color w:val="000000"/>
          <w:szCs w:val="20"/>
          <w:lang w:val="en-US"/>
        </w:rPr>
        <w:t xml:space="preserve"> TeV // CERN Tech. rep. 2022, CMS-PASBPH-21-003</w:t>
      </w:r>
      <w:r>
        <w:rPr>
          <w:iCs/>
          <w:color w:val="000000"/>
          <w:szCs w:val="20"/>
          <w:lang w:val="en-US"/>
        </w:rPr>
        <w:t xml:space="preserve">, </w:t>
      </w:r>
      <w:r w:rsidRPr="00642C69">
        <w:rPr>
          <w:iCs/>
          <w:color w:val="000000"/>
          <w:szCs w:val="20"/>
          <w:lang w:val="en-US"/>
        </w:rPr>
        <w:t>arXiv:2306.07164.</w:t>
      </w:r>
    </w:p>
    <w:p w14:paraId="1BB11880" w14:textId="77777777" w:rsidR="00F92789" w:rsidRPr="00642C69" w:rsidRDefault="00F92789" w:rsidP="00F92789">
      <w:pPr>
        <w:pStyle w:val="a9"/>
        <w:numPr>
          <w:ilvl w:val="0"/>
          <w:numId w:val="1"/>
        </w:numPr>
        <w:ind w:left="709" w:hanging="283"/>
        <w:rPr>
          <w:iCs/>
          <w:color w:val="000000"/>
        </w:rPr>
      </w:pPr>
      <w:r w:rsidRPr="00642C69">
        <w:rPr>
          <w:iCs/>
          <w:color w:val="000000"/>
          <w:szCs w:val="20"/>
          <w:lang w:val="en-US"/>
        </w:rPr>
        <w:t xml:space="preserve">[ATLAS Collaboration] Observation of an excess of di-charmonium events in the four-muon final state with the ATLAS detector // </w:t>
      </w:r>
      <w:r w:rsidRPr="00642C69">
        <w:rPr>
          <w:iCs/>
          <w:color w:val="000000"/>
          <w:lang w:val="en-US" w:eastAsia="en-US"/>
        </w:rPr>
        <w:t>Phys. Rev. Lett. 2023, vol. 131, p. 151902.</w:t>
      </w:r>
    </w:p>
    <w:p w14:paraId="45E56979" w14:textId="77777777" w:rsidR="00642C69" w:rsidRPr="00642C69" w:rsidRDefault="00642C69" w:rsidP="00642C69">
      <w:pPr>
        <w:pStyle w:val="a9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 w:rsidRPr="00642C69">
        <w:rPr>
          <w:iCs/>
          <w:color w:val="000000"/>
          <w:szCs w:val="20"/>
          <w:lang w:val="en-US"/>
        </w:rPr>
        <w:t xml:space="preserve">Faustov R.N., Galkin V.O., Savchenko E.M. Masses of the </w:t>
      </w:r>
      <m:oMath>
        <m:r>
          <m:rPr>
            <m:sty m:val="p"/>
          </m:rPr>
          <w:rPr>
            <w:rFonts w:ascii="Cambria Math" w:hAnsi="Cambria Math"/>
            <w:lang w:val="en-US"/>
          </w:rPr>
          <m:t>QQ</m:t>
        </m:r>
        <m:bar>
          <m:barPr>
            <m:pos m:val="top"/>
            <m:ctrlPr>
              <w:rPr>
                <w:rFonts w:ascii="Cambria Math" w:hAnsi="Cambria Math"/>
                <w:iCs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</m:bar>
        <m:bar>
          <m:barPr>
            <m:pos m:val="top"/>
            <m:ctrlPr>
              <w:rPr>
                <w:rFonts w:ascii="Cambria Math" w:hAnsi="Cambria Math"/>
                <w:iCs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</m:bar>
      </m:oMath>
      <w:r w:rsidRPr="00642C69">
        <w:rPr>
          <w:iCs/>
          <w:color w:val="000000"/>
          <w:lang w:val="en-US"/>
        </w:rPr>
        <w:t xml:space="preserve"> </w:t>
      </w:r>
      <w:r w:rsidRPr="00642C69">
        <w:rPr>
          <w:iCs/>
          <w:color w:val="000000"/>
          <w:szCs w:val="20"/>
          <w:lang w:val="en-US"/>
        </w:rPr>
        <w:t>tetraquarks in the relativistic diquark-antidiquark picture // Phys. Rev. D 2020, vol. 102, p. 114030.</w:t>
      </w:r>
    </w:p>
    <w:p w14:paraId="57B5AAC8" w14:textId="77777777" w:rsidR="00642C69" w:rsidRPr="00642C69" w:rsidRDefault="00642C69" w:rsidP="00642C69">
      <w:pPr>
        <w:pStyle w:val="a9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 w:rsidRPr="00642C69">
        <w:rPr>
          <w:iCs/>
          <w:color w:val="000000"/>
          <w:szCs w:val="20"/>
          <w:lang w:val="en-US"/>
        </w:rPr>
        <w:t>Faustov R.N., Galkin V.O., Savchenko E.M. Heavy tetraquarks in the relativistic quark model // Universe 2021, vol. 7, p. 94.</w:t>
      </w:r>
    </w:p>
    <w:p w14:paraId="6E6B14A4" w14:textId="77777777" w:rsidR="00D125BB" w:rsidRPr="00D125BB" w:rsidRDefault="00642C69" w:rsidP="00D125BB">
      <w:pPr>
        <w:pStyle w:val="a9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 w:rsidRPr="00642C69">
        <w:rPr>
          <w:iCs/>
          <w:color w:val="000000"/>
          <w:szCs w:val="20"/>
          <w:lang w:val="en-US"/>
        </w:rPr>
        <w:t>Faustov R.N., Galkin V.O., Savchenko E.M. Fully Heavy Tetraquark Spectroscopy in the Relativistic Quark Model // Symmetry 2022, vol. 14, p. 2504</w:t>
      </w:r>
      <w:r w:rsidR="00D125BB">
        <w:rPr>
          <w:iCs/>
          <w:color w:val="000000"/>
          <w:szCs w:val="20"/>
          <w:lang w:val="en-US"/>
        </w:rPr>
        <w:t>.</w:t>
      </w:r>
    </w:p>
    <w:p w14:paraId="2301D53A" w14:textId="0607A5AA" w:rsidR="00D125BB" w:rsidRPr="00D125BB" w:rsidRDefault="00D125BB" w:rsidP="00D125BB">
      <w:pPr>
        <w:pStyle w:val="a9"/>
        <w:numPr>
          <w:ilvl w:val="0"/>
          <w:numId w:val="1"/>
        </w:numPr>
        <w:ind w:left="709" w:hanging="283"/>
        <w:rPr>
          <w:iCs/>
          <w:color w:val="000000"/>
        </w:rPr>
      </w:pPr>
      <w:r w:rsidRPr="00D125BB">
        <w:rPr>
          <w:iCs/>
          <w:color w:val="000000"/>
        </w:rPr>
        <w:t>Галкин В.О., Савченко Е.М. Релятивистское описание спектров масс четырежды тяжёлых тетракварков // УЗФФ 2023, №4</w:t>
      </w:r>
      <w:r w:rsidRPr="00D125BB">
        <w:rPr>
          <w:iCs/>
          <w:color w:val="000000"/>
        </w:rPr>
        <w:t xml:space="preserve">, </w:t>
      </w:r>
      <w:r w:rsidRPr="00D125BB">
        <w:rPr>
          <w:iCs/>
          <w:color w:val="000000"/>
        </w:rPr>
        <w:t>с. 2341504.</w:t>
      </w:r>
    </w:p>
    <w:p w14:paraId="6DF10828" w14:textId="3FC6C250" w:rsidR="00B814BC" w:rsidRPr="00642C69" w:rsidRDefault="00000000" w:rsidP="00642C69">
      <w:pPr>
        <w:pStyle w:val="a9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 w:rsidRPr="00642C69">
        <w:rPr>
          <w:iCs/>
          <w:color w:val="000000"/>
          <w:lang w:val="en-US"/>
        </w:rPr>
        <w:t>Ebert D., Faustov R.N., Galkin V.O., Martynenko, A.P. Mass spectra of doubly heavy baryons in the relativistic quark model // Phys. Rev. D 2002, vol. 66, p. 014008.</w:t>
      </w:r>
    </w:p>
    <w:p w14:paraId="0EBA4B90" w14:textId="15CAF323" w:rsidR="00B814BC" w:rsidRPr="00642C69" w:rsidRDefault="00000000" w:rsidP="00642C69">
      <w:pPr>
        <w:pStyle w:val="a9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 w:rsidRPr="00F92789">
        <w:rPr>
          <w:iCs/>
          <w:color w:val="000000"/>
          <w:lang w:val="en-US" w:eastAsia="en-US"/>
        </w:rPr>
        <w:t>Ebert D., Faustov R.N., Galkin V.O., Lucha W. Masses of tetraquarks with two heavy quarks in the relativistic quark model // Phys. Rev. D 2007, vol. 76, p. 114015.</w:t>
      </w:r>
    </w:p>
    <w:sectPr w:rsidR="00B814BC" w:rsidRPr="00642C69">
      <w:pgSz w:w="12240" w:h="15840"/>
      <w:pgMar w:top="1134" w:right="1361" w:bottom="1259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AAC"/>
    <w:multiLevelType w:val="multilevel"/>
    <w:tmpl w:val="799019E2"/>
    <w:lvl w:ilvl="0">
      <w:start w:val="1"/>
      <w:numFmt w:val="decimal"/>
      <w:lvlText w:val="%1."/>
      <w:lvlJc w:val="left"/>
      <w:pPr>
        <w:tabs>
          <w:tab w:val="num" w:pos="-283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703455CF"/>
    <w:multiLevelType w:val="multilevel"/>
    <w:tmpl w:val="5254D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6839455">
    <w:abstractNumId w:val="0"/>
  </w:num>
  <w:num w:numId="2" w16cid:durableId="129409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BC"/>
    <w:rsid w:val="00041551"/>
    <w:rsid w:val="00107097"/>
    <w:rsid w:val="00126893"/>
    <w:rsid w:val="00172294"/>
    <w:rsid w:val="00185101"/>
    <w:rsid w:val="001A137A"/>
    <w:rsid w:val="001A6A6E"/>
    <w:rsid w:val="001D5220"/>
    <w:rsid w:val="00203450"/>
    <w:rsid w:val="00203B1A"/>
    <w:rsid w:val="0021707D"/>
    <w:rsid w:val="002254A8"/>
    <w:rsid w:val="002430FF"/>
    <w:rsid w:val="00322916"/>
    <w:rsid w:val="003A4462"/>
    <w:rsid w:val="004F04BA"/>
    <w:rsid w:val="005C6D9A"/>
    <w:rsid w:val="006137FF"/>
    <w:rsid w:val="006144A2"/>
    <w:rsid w:val="006268E4"/>
    <w:rsid w:val="00642C69"/>
    <w:rsid w:val="00643625"/>
    <w:rsid w:val="00694C09"/>
    <w:rsid w:val="006B46D3"/>
    <w:rsid w:val="006C5E78"/>
    <w:rsid w:val="00727C29"/>
    <w:rsid w:val="007B3B57"/>
    <w:rsid w:val="007C1634"/>
    <w:rsid w:val="008A5EBC"/>
    <w:rsid w:val="008B65EE"/>
    <w:rsid w:val="00921BA9"/>
    <w:rsid w:val="00AC65F2"/>
    <w:rsid w:val="00B814BC"/>
    <w:rsid w:val="00BB6E17"/>
    <w:rsid w:val="00BE4693"/>
    <w:rsid w:val="00C71B6C"/>
    <w:rsid w:val="00D125BB"/>
    <w:rsid w:val="00E278AC"/>
    <w:rsid w:val="00E82604"/>
    <w:rsid w:val="00E90740"/>
    <w:rsid w:val="00F71230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9A20"/>
  <w15:docId w15:val="{D90B4AB6-E2D1-4F73-9852-E8881F36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C5"/>
    <w:pPr>
      <w:suppressAutoHyphens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6227C5"/>
  </w:style>
  <w:style w:type="character" w:styleId="a3">
    <w:name w:val="Emphasis"/>
    <w:qFormat/>
    <w:rsid w:val="006227C5"/>
    <w:rPr>
      <w:i/>
      <w:iCs/>
    </w:rPr>
  </w:style>
  <w:style w:type="character" w:customStyle="1" w:styleId="HTML">
    <w:name w:val="Стандартный HTML Знак"/>
    <w:uiPriority w:val="99"/>
    <w:semiHidden/>
    <w:qFormat/>
    <w:rsid w:val="00AF2F57"/>
    <w:rPr>
      <w:rFonts w:ascii="Courier New" w:eastAsia="Times New Roman" w:hAnsi="Courier New" w:cs="Courier New"/>
      <w:sz w:val="20"/>
      <w:szCs w:val="20"/>
    </w:rPr>
  </w:style>
  <w:style w:type="character" w:styleId="a4">
    <w:name w:val="Placeholder Text"/>
    <w:uiPriority w:val="99"/>
    <w:semiHidden/>
    <w:qFormat/>
    <w:rsid w:val="00B910E3"/>
    <w:rPr>
      <w:color w:val="808080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;Arial" w:eastAsia="Tahoma" w:hAnsi="Liberation Sans;Arial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8">
    <w:name w:val="Normal (Web)"/>
    <w:basedOn w:val="a"/>
    <w:uiPriority w:val="99"/>
    <w:unhideWhenUsed/>
    <w:qFormat/>
    <w:rsid w:val="00AF2F57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AF2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A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Савченко</dc:creator>
  <cp:keywords/>
  <dc:description/>
  <cp:lastModifiedBy>Елена Савченко</cp:lastModifiedBy>
  <cp:revision>2</cp:revision>
  <dcterms:created xsi:type="dcterms:W3CDTF">2024-02-13T14:08:00Z</dcterms:created>
  <dcterms:modified xsi:type="dcterms:W3CDTF">2024-02-13T14:08:00Z</dcterms:modified>
  <dc:language>en-US</dc:language>
</cp:coreProperties>
</file>