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240"/>
        <w:ind w:firstLine="420" w:left="0"/>
        <w:jc w:val="center"/>
        <w:rPr>
          <w:b w:val="1"/>
          <w:highlight w:val="white"/>
        </w:rPr>
      </w:pPr>
      <w:r>
        <w:rPr>
          <w:b w:val="1"/>
          <w:highlight w:val="white"/>
        </w:rPr>
        <w:t>Гамма-кванты высоких энергий от Троянцев Нептуна</w:t>
      </w:r>
    </w:p>
    <w:p w14:paraId="02000000">
      <w:pPr>
        <w:spacing w:before="240"/>
        <w:ind w:firstLine="420" w:left="0"/>
        <w:jc w:val="center"/>
        <w:rPr>
          <w:rFonts w:ascii="Times New Roman" w:hAnsi="Times New Roman"/>
          <w:b w:val="1"/>
          <w:sz w:val="24"/>
          <w:highlight w:val="white"/>
          <w:vertAlign w:val="superscript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Семенов А. А.</w:t>
      </w:r>
      <w:r>
        <w:rPr>
          <w:rFonts w:ascii="Times New Roman" w:hAnsi="Times New Roman"/>
          <w:b w:val="1"/>
          <w:sz w:val="24"/>
          <w:highlight w:val="white"/>
          <w:vertAlign w:val="superscript"/>
        </w:rPr>
        <w:t>1</w:t>
      </w:r>
    </w:p>
    <w:p w14:paraId="03000000">
      <w:pPr>
        <w:spacing w:before="240"/>
        <w:ind w:firstLine="420" w:left="0"/>
        <w:jc w:val="center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  <w:vertAlign w:val="superscript"/>
        </w:rPr>
        <w:t>1</w:t>
      </w:r>
      <w:r>
        <w:rPr>
          <w:rFonts w:ascii="Times New Roman" w:hAnsi="Times New Roman"/>
          <w:i w:val="1"/>
          <w:sz w:val="24"/>
          <w:highlight w:val="white"/>
        </w:rPr>
        <w:t>студент</w:t>
      </w:r>
    </w:p>
    <w:p w14:paraId="04000000">
      <w:pPr>
        <w:spacing w:after="200" w:before="240"/>
        <w:ind w:firstLine="420" w:left="0"/>
        <w:jc w:val="center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 xml:space="preserve">Московский государственный университет имени М. В. Ломоносова, </w:t>
      </w:r>
    </w:p>
    <w:p w14:paraId="05000000">
      <w:pPr>
        <w:spacing w:after="200" w:before="240"/>
        <w:ind w:firstLine="420" w:left="0"/>
        <w:jc w:val="center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физический факультет, Москва, Россия</w:t>
      </w:r>
    </w:p>
    <w:p w14:paraId="06000000">
      <w:pPr>
        <w:spacing w:after="200" w:before="240"/>
        <w:ind w:firstLine="420" w:left="0"/>
        <w:jc w:val="center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Научно-исследовательский институт ядерной физики имени Д. В. Скобельцына Московского государственного университета имени М. В. Ломоносова</w:t>
      </w:r>
    </w:p>
    <w:p w14:paraId="07000000">
      <w:pPr>
        <w:spacing w:after="200" w:before="240"/>
        <w:ind w:firstLine="420" w:left="0"/>
        <w:jc w:val="center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(НИИЯФ МГУ), Москва, Россия</w:t>
      </w:r>
    </w:p>
    <w:p w14:paraId="08000000">
      <w:pPr>
        <w:spacing w:after="240" w:before="240"/>
        <w:ind/>
        <w:rPr>
          <w:rFonts w:ascii="Times New Roman" w:hAnsi="Times New Roman"/>
          <w:color w:val="1155CC"/>
          <w:sz w:val="24"/>
          <w:highlight w:val="white"/>
          <w:u w:val="single"/>
        </w:rPr>
      </w:pPr>
      <w:r>
        <w:rPr>
          <w:rFonts w:ascii="Times New Roman" w:hAnsi="Times New Roman"/>
          <w:i w:val="1"/>
          <w:sz w:val="24"/>
          <w:highlight w:val="white"/>
        </w:rPr>
        <w:t>E–mail</w:t>
      </w:r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instrText>HYPERLINK "mailto:semenov.aa19@physics.msu.ru"</w:instrTex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t>semenov.aa19@physics.msu.ru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end"/>
      </w:r>
    </w:p>
    <w:p w14:paraId="09000000">
      <w:pPr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>Цель данной работы —– анализ гамма-излучения от Троянцев Нептуна.</w:t>
      </w:r>
    </w:p>
    <w:p w14:paraId="0A000000">
      <w:pPr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>В своей работе я поставил верхние пределы на  спектральное распределение энергии (SED =</w:t>
      </w:r>
      <m:oMathPara>
        <m:oMath>
          <m:sSup>
            <m:e>
              <m:r>
                <w:rPr>
                  <w:rFonts w:ascii="Cambria Math" w:hAnsi="Cambria Math"/>
                  <w:sz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rPr>
              <m:sty m:val="p"/>
            </m:rPr>
            <m:t>dN/dE</m:t>
          </m:r>
        </m:oMath>
      </m:oMathPara>
      <w:r>
        <w:rPr>
          <w:rStyle w:val="Style_1_ch"/>
          <w:rFonts w:ascii="Times New Roman" w:hAnsi="Times New Roman"/>
          <w:sz w:val="24"/>
          <w:highlight w:val="white"/>
        </w:rPr>
        <w:t>) от Троянцев Нептуна (Рисунок 1.) .</w:t>
      </w:r>
    </w:p>
    <w:p w14:paraId="0B000000">
      <w:pPr>
        <w:pStyle w:val="Style_1"/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>Троянцы Нептуна представляют собой группу астероидов на расстоянии 30 а.е. от Солнца. Оптический цвет Троянцев в основном более синий, чем медианные значения для астероидов из пояса Койпера. Они движутся по орбите Нептуна в области точек Лагранжа 4, 5.</w:t>
      </w:r>
    </w:p>
    <w:p w14:paraId="0C000000">
      <w:pPr>
        <w:pStyle w:val="Style_1"/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>Имеют угловой радиус 15 градусов [1] и занимают область пространства похожую на диск[2]. Троянские астероиды Нептуна можно представить как группу камней, образовавшихся если бы Нептун размололи на небольшие осколки, при этом масса остается такой же, а эффективкая площадь увеличивается, поэтому поток высоко-энергетических гамма-квантов от Троянцев будет выше, чем от Нептуна.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 </w:t>
      </w:r>
    </w:p>
    <w:p w14:paraId="0D000000">
      <w:pPr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>Гамма-кванты от Троянцев Нептуна будут рождаться в результате p-p взаимодействий. В объектах с размером меньше 1 метра каскад, образованный взаимодействием КЛ(Космических лучей) с веществом астероида, не затухнет полностью. Образование гамма-квантов на объектах с размерами меньше 1 метра сродни взаимодействию КЛ с одним ядром, где величина образовавшегося потока гамма-квантов линейно возрастает от количества провзаимодействовавших ядер. В таком случае спектр гамма-квантов будет жестче, чем в случае взаимодействия КЛ с единичным &lt;&lt;широким&gt;&gt; объектом. Полный спектр от альбедо гамма-квантов с энергией $&lt; 1$ ГэВ от Троянцев будет зависеть от плотности расположения астероидов.</w:t>
      </w:r>
    </w:p>
    <w:p w14:paraId="0E000000">
      <w:pPr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Спектр гамма-излучения Троянцев чувствителен к распределению Троянцев по радиусу. Поставленные верхние пределы на спектральное распределение энергий от Троянцев Нептуна позволяет оценить их общую массу.</w:t>
      </w:r>
    </w:p>
    <w:p w14:paraId="0F000000">
      <w:pPr>
        <w:spacing w:after="240" w:before="240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Рисунок 1.</w:t>
      </w:r>
    </w:p>
    <w:p w14:paraId="10000000">
      <w:pPr>
        <w:spacing w:after="240" w:before="240"/>
        <w:ind/>
        <w:jc w:val="both"/>
        <w:rPr>
          <w:rFonts w:ascii="Times New Roman" w:hAnsi="Times New Roman"/>
          <w:sz w:val="24"/>
          <w:highlight w:val="white"/>
        </w:rPr>
      </w:pPr>
      <w:r>
        <w:drawing>
          <wp:inline>
            <wp:extent cx="6057899" cy="44196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57899" cy="4419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spacing w:after="240" w:before="240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color w:val="353535"/>
          <w:sz w:val="24"/>
          <w:highlight w:val="white"/>
        </w:rPr>
        <w:t>Литература</w:t>
      </w:r>
    </w:p>
    <w:p w14:paraId="12000000">
      <w:pPr>
        <w:numPr>
          <w:ilvl w:val="0"/>
          <w:numId w:val="1"/>
        </w:numPr>
        <w:spacing w:after="0" w:before="240"/>
        <w:ind w:hanging="360" w:left="720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>Lin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H.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W.,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Chen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Y.-T.,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Volk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K.,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Gladman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B.,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>Murray-Clay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R., </w:t>
      </w:r>
      <w:r>
        <w:rPr>
          <w:rStyle w:val="Style_1_ch"/>
          <w:rFonts w:ascii="Times New Roman" w:hAnsi="Times New Roman"/>
          <w:sz w:val="24"/>
          <w:highlight w:val="white"/>
        </w:rPr>
        <w:t>Alexandersen M., Bannister M. T., Lawler S. M., Ip W.-H., Lykawka P.S.,</w:t>
      </w:r>
      <w:r>
        <w:rPr>
          <w:rStyle w:val="Style_1_ch"/>
          <w:rFonts w:ascii="Times New Roman" w:hAnsi="Times New Roman"/>
          <w:sz w:val="24"/>
          <w:highlight w:val="white"/>
        </w:rPr>
        <w:t>Kavelaars J., Gwyn S. D., and Petit J.-M. OSSOS: The eccentricity and</w:t>
      </w:r>
      <w:r>
        <w:rPr>
          <w:rStyle w:val="Style_1_ch"/>
          <w:rFonts w:ascii="Times New Roman" w:hAnsi="Times New Roman"/>
          <w:sz w:val="24"/>
          <w:highlight w:val="white"/>
        </w:rPr>
        <w:t>inclination distributions of the stable neptunian Trojans // Icarus. — 2021. —</w:t>
      </w:r>
      <w:r>
        <w:rPr>
          <w:rStyle w:val="Style_1_ch"/>
          <w:rFonts w:ascii="Times New Roman" w:hAnsi="Times New Roman"/>
          <w:sz w:val="24"/>
          <w:highlight w:val="white"/>
        </w:rPr>
        <w:t>June. — Vol. 361. — P. 114391. — Access mode:</w:t>
      </w:r>
      <w:r>
        <w:rPr>
          <w:rStyle w:val="Style_1_ch"/>
          <w:rFonts w:ascii="Times New Roman" w:hAnsi="Times New Roman"/>
          <w:sz w:val="24"/>
          <w:highlight w:val="white"/>
        </w:rPr>
        <w:t>https://doi.org/10.1016/</w:t>
      </w:r>
      <w:r>
        <w:rPr>
          <w:rStyle w:val="Style_1_ch"/>
          <w:rFonts w:ascii="Times New Roman" w:hAnsi="Times New Roman"/>
          <w:sz w:val="24"/>
          <w:highlight w:val="white"/>
        </w:rPr>
        <w:t>j.icarus.2021.114391</w:t>
      </w:r>
      <w:r>
        <w:rPr>
          <w:rStyle w:val="Style_1_ch"/>
          <w:rFonts w:ascii="Times New Roman" w:hAnsi="Times New Roman"/>
          <w:sz w:val="24"/>
          <w:highlight w:val="white"/>
        </w:rPr>
        <w:t>.</w:t>
      </w:r>
    </w:p>
    <w:p w14:paraId="13000000">
      <w:pPr>
        <w:numPr>
          <w:ilvl w:val="0"/>
          <w:numId w:val="1"/>
        </w:numPr>
        <w:spacing w:after="0" w:before="240"/>
        <w:ind w:hanging="360" w:left="720"/>
        <w:rPr>
          <w:rFonts w:ascii="Times New Roman" w:hAnsi="Times New Roman"/>
          <w:sz w:val="24"/>
          <w:highlight w:val="white"/>
        </w:rPr>
      </w:pPr>
      <w:r>
        <w:rPr>
          <w:rStyle w:val="Style_1_ch"/>
          <w:rFonts w:ascii="Times New Roman" w:hAnsi="Times New Roman"/>
          <w:sz w:val="24"/>
          <w:highlight w:val="white"/>
        </w:rPr>
        <w:t xml:space="preserve">Huybers P. Early Pleistocene Glacial Cycles and the Integrated Summer </w:t>
      </w:r>
      <w:r>
        <w:rPr>
          <w:rStyle w:val="Style_1_ch"/>
          <w:rFonts w:ascii="Times New Roman" w:hAnsi="Times New Roman"/>
          <w:sz w:val="24"/>
          <w:highlight w:val="white"/>
        </w:rPr>
        <w:t>Insolation Forcing // Science. — 2006. — July. — Vol. 313, no. 5786. — P. 508–</w:t>
      </w:r>
      <w:r>
        <w:rPr>
          <w:rStyle w:val="Style_1_ch"/>
          <w:rFonts w:ascii="Times New Roman" w:hAnsi="Times New Roman"/>
          <w:sz w:val="24"/>
          <w:highlight w:val="white"/>
        </w:rPr>
        <w:t>511. — Access mode:</w:t>
      </w:r>
      <w:r>
        <w:rPr>
          <w:rStyle w:val="Style_1_ch"/>
          <w:rFonts w:ascii="Times New Roman" w:hAnsi="Times New Roman"/>
          <w:sz w:val="24"/>
          <w:highlight w:val="white"/>
        </w:rPr>
        <w:t xml:space="preserve"> https://doi.org/10.1126/science.1125249</w:t>
      </w:r>
      <w:r>
        <w:rPr>
          <w:rStyle w:val="Style_1_ch"/>
          <w:rFonts w:ascii="Times New Roman" w:hAnsi="Times New Roman"/>
          <w:sz w:val="24"/>
          <w:highlight w:val="white"/>
        </w:rPr>
        <w:t>.</w:t>
      </w:r>
    </w:p>
    <w:p w14:paraId="14000000">
      <w:pPr>
        <w:spacing w:after="240" w:before="0"/>
        <w:ind w:hanging="360" w:left="720"/>
        <w:rPr>
          <w:rFonts w:ascii="Times New Roman" w:hAnsi="Times New Roman"/>
          <w:sz w:val="24"/>
          <w:highlight w:val="white"/>
        </w:rPr>
      </w:pPr>
    </w:p>
    <w:tbl>
      <w:tblPr>
        <w:tblStyle w:val="Style_2"/>
        <w:tblInd w:type="dxa" w:w="321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35"/>
      </w:tblGrid>
      <w:tr>
        <w:trPr>
          <w:trHeight w:hRule="atLeast" w:val="195"/>
        </w:trPr>
        <w:tc>
          <w:tcPr>
            <w:tcW w:type="dxa" w:w="1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100"/>
            </w:tcMar>
            <w:vAlign w:val="top"/>
          </w:tcPr>
          <w:p w14:paraId="15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0" w:right="0"/>
              <w:jc w:val="left"/>
              <w:rPr>
                <w:sz w:val="18"/>
                <w:highlight w:val="white"/>
              </w:rPr>
            </w:pPr>
          </w:p>
        </w:tc>
      </w:tr>
    </w:tbl>
    <w:p w14:paraId="16000000"/>
    <w:sectPr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7_ch" w:type="character">
    <w:name w:val="heading 3"/>
    <w:basedOn w:val="Style_1_ch"/>
    <w:link w:val="Style_7"/>
    <w:rPr>
      <w:b w:val="0"/>
      <w:color w:val="434343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9_ch" w:type="character">
    <w:name w:val="heading 5"/>
    <w:basedOn w:val="Style_1_ch"/>
    <w:link w:val="Style_9"/>
    <w:rPr>
      <w:color w:val="666666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10_ch" w:type="character">
    <w:name w:val="heading 1"/>
    <w:basedOn w:val="Style_1_ch"/>
    <w:link w:val="Style_10"/>
    <w:rPr>
      <w:sz w:val="40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8_ch" w:type="character">
    <w:name w:val="Subtitle"/>
    <w:basedOn w:val="Style_1_ch"/>
    <w:link w:val="Style_18"/>
    <w:rPr>
      <w:rFonts w:ascii="Arial" w:hAnsi="Arial"/>
      <w:i w:val="0"/>
      <w:color w:val="666666"/>
      <w:sz w:val="30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19_ch" w:type="character">
    <w:name w:val="Title"/>
    <w:basedOn w:val="Style_1_ch"/>
    <w:link w:val="Style_19"/>
    <w:rPr>
      <w:sz w:val="5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0_ch" w:type="character">
    <w:name w:val="heading 4"/>
    <w:basedOn w:val="Style_1_ch"/>
    <w:link w:val="Style_20"/>
    <w:rPr>
      <w:color w:val="666666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1_ch" w:type="character">
    <w:name w:val="heading 2"/>
    <w:basedOn w:val="Style_1_ch"/>
    <w:link w:val="Style_21"/>
    <w:rPr>
      <w:b w:val="0"/>
      <w:sz w:val="32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2_ch" w:type="character">
    <w:name w:val="heading 6"/>
    <w:basedOn w:val="Style_1_ch"/>
    <w:link w:val="Style_22"/>
    <w:rPr>
      <w:i w:val="1"/>
      <w:color w:val="666666"/>
      <w:sz w:val="22"/>
    </w:rPr>
  </w:style>
  <w:style w:default="1" w:styleId="Style_23" w:type="table">
    <w:name w:val="Table Normal"/>
  </w:style>
  <w:style w:styleId="Style_2" w:type="table">
    <w:basedOn w:val="Style_2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2024-02-26T15:10:51Z</dcterms:modified>
</cp:coreProperties>
</file>