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Применение машинного обучения на основе маппинга данных о физических свойствах сплавов Ti и Zr для предсказания упругих свойств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Яблонский И.Д.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*1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, Бакланов Л.В.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Студент, 2 курса магистратуры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Магистерская школа Информационных бизнес-систем, Национальный исследовательский технологический университет МИСиС, Москва, Россия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ff"/>
          <w:sz w:val="24"/>
          <w:szCs w:val="24"/>
          <w:u w:val="single"/>
          <w:rtl w:val="0"/>
        </w:rPr>
        <w:t xml:space="preserve">m2104198@edu.misis.ru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Научный руководитель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– Сиднов Кирилл Павлович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firstLine="40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наиболее точных, но в то же время ресурсоемких методов расчета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механических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свойств кристаллов является метод проекционно-присоединённых плоских волн, но, часто, задачи поиска перспективных материалов требуют множество расчетов. Для ускорения решения таких задач в последнее время используются методы машинного обучения, которые, при наличии достаточной обучающей выборки, способны предложить точность, сопоставимую с расчетными методами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[1,2]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данной работе предложена система машинного обучения для прогнозирования упругих свойств ОЦК-сплавов Ti и Zr на основе результатов расчетов с низкой точностью.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Предсказываемые величины включали 7 независимых упругих констант, модули объемной упругости, сдвига, Юнга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C’=(C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)/2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60 ОЦК-сплавов на основе Ti и Zr.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одель машинного обучения в рамках метода градиентного бустинга на основе библиотеки “Catboost”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[3]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была оптимизирована путем перекрестной проверки по сетке параметров (“Grid Search”). Для преобразования информации о качественном и количественном составе сплавов в векторы признаков была использована библиотека “Matminer”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00"/>
            <w:sz w:val="24"/>
            <w:szCs w:val="24"/>
            <w:u w:val="none"/>
            <w:rtl w:val="0"/>
          </w:rPr>
          <w:t xml:space="preserve">[4]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Полученные векторы дополнялись значениями модуля объемной упругости, энергии и объема основного состояния, полученные методом PAW-SQS для 128-атомных ячеек при упрощенных параметрах расчета (1-ая зона бриллюэна описывалась одной гамма точкой). Оценочные затраты на получения этих значений составили 4.3 ядро-часов на состав. Объясняемые величины были получены с помощью точных расчетов, ресурсоемкостью 300 ядро-часов на состав.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firstLine="4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Валидация моделей выполнялась в 3-ёх сценариях применения: предсказание характеристик для новых концентрационных сочетаний в системах уже имеющихся в обучающей выборке; предсказание характеристик для систем, которые не были представлены в обучающей выборке; предсказание характеристик для составов, ни один химический элемент из которых не был представлен в составах обучающей выборки.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Средний коэффициент детерминации при прогнозировании упругих характеристик составил 0.64-0.82, средняя абсолютная ошибка 6.5-8 ГПа.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Работа поддержана Российским Научным Фондом, грант № 21-72-10105.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[1]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S. Xiong et al. A combined machine learning and density functional theory study of binary Ti-Nb and Ti-Zr alloys: Stability and Young’s modulus, Comput. Mater. Sci. 184 (2020) 109830.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[2]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X. Liu et al. Machine Learning Assisted Prediction of Microstructures and Young’s Modulus of Biomedical Multi-Component β-Ti Alloys, Metals . 12 (2022) 796.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[3]</w:t>
        <w:tab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4"/>
            <w:szCs w:val="24"/>
            <w:u w:val="none"/>
            <w:rtl w:val="0"/>
          </w:rPr>
          <w:t xml:space="preserve">CatBoost - state-of-the-art open-source gradient boosting library with categorical features support, (n.d.).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4"/>
            <w:szCs w:val="24"/>
            <w:u w:val="none"/>
            <w:rtl w:val="0"/>
          </w:rPr>
          <w:t xml:space="preserve">https://catboost.ai/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color w:val="000000"/>
            <w:sz w:val="24"/>
            <w:szCs w:val="24"/>
            <w:u w:val="none"/>
            <w:rtl w:val="0"/>
          </w:rPr>
          <w:t xml:space="preserve"> (accessed February 16, 2024).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[4]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L. Ward et al. Matminer: An open source toolkit for materials data mining, Comput. Mater. Sci. 152 (2018) 60–69.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paperpile.com/b/6ON5EY/tlIv" TargetMode="External"/><Relationship Id="rId10" Type="http://schemas.openxmlformats.org/officeDocument/2006/relationships/hyperlink" Target="https://catboost.ai/" TargetMode="External"/><Relationship Id="rId9" Type="http://schemas.openxmlformats.org/officeDocument/2006/relationships/hyperlink" Target="http://paperpile.com/b/6ON5EY/tlIv" TargetMode="External"/><Relationship Id="rId5" Type="http://schemas.openxmlformats.org/officeDocument/2006/relationships/styles" Target="styles.xml"/><Relationship Id="rId6" Type="http://schemas.openxmlformats.org/officeDocument/2006/relationships/hyperlink" Target="https://paperpile.com/c/6ON5EY/H9ij+200b" TargetMode="External"/><Relationship Id="rId7" Type="http://schemas.openxmlformats.org/officeDocument/2006/relationships/hyperlink" Target="https://paperpile.com/c/6ON5EY/tlIv" TargetMode="External"/><Relationship Id="rId8" Type="http://schemas.openxmlformats.org/officeDocument/2006/relationships/hyperlink" Target="https://paperpile.com/c/6ON5EY/a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