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2" w14:textId="15C03C10" w:rsidR="00B15B7B" w:rsidRDefault="00B15B7B" w:rsidP="002234E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000004" w14:textId="5E7CB752" w:rsidR="00B15B7B" w:rsidRPr="001A7EED" w:rsidRDefault="00786A00" w:rsidP="003A34A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EED">
        <w:rPr>
          <w:rFonts w:ascii="Times New Roman" w:eastAsia="Times New Roman" w:hAnsi="Times New Roman" w:cs="Times New Roman"/>
          <w:b/>
          <w:sz w:val="24"/>
          <w:szCs w:val="24"/>
        </w:rPr>
        <w:t xml:space="preserve">Индуктивно шунтированные </w:t>
      </w:r>
      <w:proofErr w:type="spellStart"/>
      <w:r w:rsidRPr="001A7EED">
        <w:rPr>
          <w:rFonts w:ascii="Times New Roman" w:eastAsia="Times New Roman" w:hAnsi="Times New Roman" w:cs="Times New Roman"/>
          <w:b/>
          <w:sz w:val="24"/>
          <w:szCs w:val="24"/>
        </w:rPr>
        <w:t>кубиты-трансмоны</w:t>
      </w:r>
      <w:proofErr w:type="spellEnd"/>
      <w:r w:rsidRPr="001A7EED">
        <w:rPr>
          <w:rFonts w:ascii="Times New Roman" w:eastAsia="Times New Roman" w:hAnsi="Times New Roman" w:cs="Times New Roman"/>
          <w:b/>
          <w:sz w:val="24"/>
          <w:szCs w:val="24"/>
        </w:rPr>
        <w:t xml:space="preserve"> с высоким</w:t>
      </w:r>
      <w:r w:rsidR="003A34A1" w:rsidRPr="001A7E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EED">
        <w:rPr>
          <w:rFonts w:ascii="Times New Roman" w:eastAsia="Times New Roman" w:hAnsi="Times New Roman" w:cs="Times New Roman"/>
          <w:b/>
          <w:sz w:val="24"/>
          <w:szCs w:val="24"/>
        </w:rPr>
        <w:t>ангармонизмом</w:t>
      </w:r>
      <w:proofErr w:type="spellEnd"/>
    </w:p>
    <w:p w14:paraId="00000005" w14:textId="29B7710C" w:rsidR="00B15B7B" w:rsidRPr="001A7EED" w:rsidRDefault="00786A00" w:rsidP="001A7E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</w:rPr>
      </w:pPr>
      <w:r w:rsidRPr="001A7E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Кирковский</w:t>
      </w:r>
      <w:r w:rsidR="001A7EED" w:rsidRPr="001A7E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gramStart"/>
      <w:r w:rsidR="001A7EED" w:rsidRPr="001A7E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А.С.</w:t>
      </w:r>
      <w:r w:rsidRPr="001A7E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</w:rPr>
        <w:t>1</w:t>
      </w:r>
      <w:r w:rsidR="00FC7517" w:rsidRPr="00FC75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</w:rPr>
        <w:t>,</w:t>
      </w:r>
      <w:r w:rsidR="00FC75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</w:rPr>
        <w:t>а</w:t>
      </w:r>
      <w:proofErr w:type="gramEnd"/>
      <w:r w:rsidRPr="001A7E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r w:rsidRPr="001A7E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Калачева</w:t>
      </w:r>
      <w:r w:rsidR="001A7EED" w:rsidRPr="001A7E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Д.А.</w:t>
      </w:r>
      <w:r w:rsidRPr="001A7E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</w:rPr>
        <w:t>1,2,3</w:t>
      </w:r>
      <w:r w:rsidRPr="001A7E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</w:t>
      </w:r>
      <w:r w:rsidR="001A7EED" w:rsidRPr="001A7E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1A7E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Зотова</w:t>
      </w:r>
      <w:r w:rsidR="001A7EED" w:rsidRPr="001A7E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Ю.И.</w:t>
      </w:r>
      <w:r w:rsidRPr="001A7E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</w:rPr>
        <w:t>1,2,3</w:t>
      </w:r>
      <w:r w:rsidRPr="001A7E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</w:t>
      </w:r>
      <w:r w:rsidR="001A7EED" w:rsidRPr="001A7E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1A7E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Федоров</w:t>
      </w:r>
      <w:r w:rsidR="001A7EED" w:rsidRPr="001A7E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1A7EED" w:rsidRPr="001A7E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Г.П.</w:t>
      </w:r>
      <w:r w:rsidRPr="001A7E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</w:rPr>
        <w:t>1,3,4</w:t>
      </w:r>
      <w:r w:rsidRPr="001A7E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r w:rsidRPr="001A7E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Дмитриев</w:t>
      </w:r>
      <w:r w:rsidR="001A7EED" w:rsidRPr="001A7E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1A7EED" w:rsidRPr="001A7E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A.Ю.</w:t>
      </w:r>
      <w:r w:rsidRPr="001A7E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</w:rPr>
        <w:t>1,4</w:t>
      </w:r>
      <w:r w:rsidRPr="001A7E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r w:rsidRPr="001A7E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Астафьев</w:t>
      </w:r>
      <w:r w:rsidR="001A7EED" w:rsidRPr="001A7E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1A7EED" w:rsidRPr="001A7E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О.В.</w:t>
      </w:r>
      <w:r w:rsidRPr="001A7E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</w:rPr>
        <w:t>1,2</w:t>
      </w:r>
    </w:p>
    <w:p w14:paraId="25D62145" w14:textId="7D78B36B" w:rsidR="001A7EED" w:rsidRPr="001A7EED" w:rsidRDefault="00FC7517" w:rsidP="001A7E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</w:rPr>
      </w:pPr>
      <w:proofErr w:type="spellStart"/>
      <w:r w:rsidRPr="00FC7517">
        <w:rPr>
          <w:rFonts w:ascii="Times New Roman" w:eastAsia="Times New Roman" w:hAnsi="Times New Roman" w:cs="Times New Roman"/>
          <w:bCs/>
          <w:i/>
          <w:color w:val="000000"/>
          <w:sz w:val="24"/>
          <w:vertAlign w:val="superscript"/>
        </w:rPr>
        <w:t>а</w:t>
      </w:r>
      <w:r w:rsidR="001A7EED" w:rsidRPr="001A7EED">
        <w:rPr>
          <w:rFonts w:ascii="Times New Roman" w:eastAsia="Times New Roman" w:hAnsi="Times New Roman" w:cs="Times New Roman"/>
          <w:bCs/>
          <w:i/>
          <w:color w:val="000000"/>
          <w:sz w:val="24"/>
        </w:rPr>
        <w:t>студент</w:t>
      </w:r>
      <w:proofErr w:type="spellEnd"/>
    </w:p>
    <w:p w14:paraId="00000006" w14:textId="77777777" w:rsidR="00B15B7B" w:rsidRPr="001A7EED" w:rsidRDefault="00786A00" w:rsidP="001A7E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A7E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1</w:t>
      </w:r>
      <w:r w:rsidRPr="001A7E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Московский физико-технический институт (национальный исследовательский университет), Долгопрудный, Россия</w:t>
      </w:r>
    </w:p>
    <w:p w14:paraId="00000007" w14:textId="77777777" w:rsidR="00B15B7B" w:rsidRPr="001A7EED" w:rsidRDefault="00786A00" w:rsidP="001A7E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A7E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r w:rsidRPr="001A7E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Сколковский институт науки и технологий, Москва, Россия</w:t>
      </w:r>
    </w:p>
    <w:p w14:paraId="00000008" w14:textId="77777777" w:rsidR="00B15B7B" w:rsidRPr="001A7EED" w:rsidRDefault="00786A00" w:rsidP="001A7E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A7E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3</w:t>
      </w:r>
      <w:r w:rsidRPr="001A7E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Национальный исследовательский технологический университет «</w:t>
      </w:r>
      <w:proofErr w:type="spellStart"/>
      <w:r w:rsidRPr="001A7E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МИСиС</w:t>
      </w:r>
      <w:proofErr w:type="spellEnd"/>
      <w:r w:rsidRPr="001A7E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», Москва, Россия</w:t>
      </w:r>
    </w:p>
    <w:p w14:paraId="00000009" w14:textId="0E0F4D98" w:rsidR="00B15B7B" w:rsidRDefault="00786A00" w:rsidP="001A7E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A7E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4</w:t>
      </w:r>
      <w:r w:rsidRPr="001A7E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Российский </w:t>
      </w:r>
      <w:proofErr w:type="spellStart"/>
      <w:r w:rsidRPr="001A7E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квантовыи</w:t>
      </w:r>
      <w:proofErr w:type="spellEnd"/>
      <w:r w:rsidRPr="001A7E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̆ центр, Москва, Россия</w:t>
      </w:r>
    </w:p>
    <w:p w14:paraId="7C207783" w14:textId="3925E17D" w:rsidR="001A7EED" w:rsidRPr="0073576D" w:rsidRDefault="00076F70" w:rsidP="001A7E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k</w:t>
      </w:r>
      <w:r w:rsidR="001A7E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irkovskii</w:t>
      </w:r>
      <w:proofErr w:type="spellEnd"/>
      <w:r w:rsidR="001A7EED" w:rsidRPr="001A7E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="001A7E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as</w:t>
      </w:r>
      <w:r w:rsidR="001A7EED" w:rsidRPr="001A7E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@</w:t>
      </w:r>
      <w:proofErr w:type="spellStart"/>
      <w:r w:rsidR="001A7E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phystech</w:t>
      </w:r>
      <w:proofErr w:type="spellEnd"/>
      <w:r w:rsidRPr="00076F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edu</w:t>
      </w:r>
      <w:proofErr w:type="spellEnd"/>
    </w:p>
    <w:p w14:paraId="0000000A" w14:textId="59DB8BE1" w:rsidR="00B15B7B" w:rsidRPr="00076F70" w:rsidRDefault="00786A00" w:rsidP="00076F70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Одной из наиболее перспективных технологий для создания квантовых устройств являются </w:t>
      </w:r>
      <w:r w:rsidRPr="00076F70">
        <w:rPr>
          <w:rFonts w:ascii="Times New Roman" w:eastAsia="Times New Roman" w:hAnsi="Times New Roman" w:cs="Times New Roman"/>
          <w:sz w:val="24"/>
          <w:szCs w:val="24"/>
        </w:rPr>
        <w:t>микросхемы на основе сверхпроводников</w:t>
      </w:r>
      <w:r w:rsidRPr="00076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</w:t>
      </w:r>
      <w:r w:rsidR="0073576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076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]. В большинстве реализаций таких цепей используются </w:t>
      </w:r>
      <w:r w:rsidRPr="00076F70">
        <w:rPr>
          <w:rFonts w:ascii="Times New Roman" w:eastAsia="Times New Roman" w:hAnsi="Times New Roman" w:cs="Times New Roman"/>
          <w:sz w:val="24"/>
          <w:szCs w:val="24"/>
        </w:rPr>
        <w:t xml:space="preserve">искусственные атомы </w:t>
      </w:r>
      <w:r w:rsidRPr="00076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типа </w:t>
      </w:r>
      <w:proofErr w:type="spellStart"/>
      <w:r w:rsidRPr="00076F70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трансмон</w:t>
      </w:r>
      <w:proofErr w:type="spellEnd"/>
      <w:r w:rsidRPr="00076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зарядовые </w:t>
      </w:r>
      <w:proofErr w:type="spellStart"/>
      <w:r w:rsidRPr="00076F70">
        <w:rPr>
          <w:rFonts w:ascii="Times New Roman" w:eastAsia="Times New Roman" w:hAnsi="Times New Roman" w:cs="Times New Roman"/>
          <w:color w:val="000000"/>
          <w:sz w:val="24"/>
          <w:szCs w:val="24"/>
        </w:rPr>
        <w:t>кубиты</w:t>
      </w:r>
      <w:proofErr w:type="spellEnd"/>
      <w:r w:rsidRPr="00076F70">
        <w:rPr>
          <w:rFonts w:ascii="Times New Roman" w:eastAsia="Times New Roman" w:hAnsi="Times New Roman" w:cs="Times New Roman"/>
          <w:color w:val="000000"/>
          <w:sz w:val="24"/>
          <w:szCs w:val="24"/>
        </w:rPr>
        <w:t>, шунтированные большой ем</w:t>
      </w:r>
      <w:r w:rsidRPr="00076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костью. Такие </w:t>
      </w:r>
      <w:proofErr w:type="spellStart"/>
      <w:r w:rsidRPr="00076F70">
        <w:rPr>
          <w:rFonts w:ascii="Times New Roman" w:eastAsia="Times New Roman" w:hAnsi="Times New Roman" w:cs="Times New Roman"/>
          <w:color w:val="000000"/>
          <w:sz w:val="24"/>
          <w:szCs w:val="24"/>
        </w:rPr>
        <w:t>кубиты</w:t>
      </w:r>
      <w:proofErr w:type="spellEnd"/>
      <w:r w:rsidRPr="00076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обладают большим временем когерентности, однако имеют малый </w:t>
      </w:r>
      <w:proofErr w:type="spellStart"/>
      <w:r w:rsidRPr="00076F70">
        <w:rPr>
          <w:rFonts w:ascii="Times New Roman" w:eastAsia="Times New Roman" w:hAnsi="Times New Roman" w:cs="Times New Roman"/>
          <w:color w:val="000000"/>
          <w:sz w:val="24"/>
          <w:szCs w:val="24"/>
        </w:rPr>
        <w:t>ангармонизм</w:t>
      </w:r>
      <w:proofErr w:type="spellEnd"/>
      <w:r w:rsidRPr="00076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[2].</w:t>
      </w:r>
    </w:p>
    <w:p w14:paraId="0000000B" w14:textId="6F54DED1" w:rsidR="00B15B7B" w:rsidRDefault="00786A00" w:rsidP="00076F7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решения </w:t>
      </w:r>
      <w:r w:rsidRPr="00076F70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076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проблемы предлагается модифицировать </w:t>
      </w:r>
      <w:proofErr w:type="spellStart"/>
      <w:r w:rsidRPr="00076F70">
        <w:rPr>
          <w:rFonts w:ascii="Times New Roman" w:eastAsia="Times New Roman" w:hAnsi="Times New Roman" w:cs="Times New Roman"/>
          <w:color w:val="000000"/>
          <w:sz w:val="24"/>
          <w:szCs w:val="24"/>
        </w:rPr>
        <w:t>кубит-трансмон</w:t>
      </w:r>
      <w:proofErr w:type="spellEnd"/>
      <w:r w:rsidRPr="00076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добавив </w:t>
      </w:r>
      <w:r w:rsidRPr="00076F70">
        <w:rPr>
          <w:rFonts w:ascii="Times New Roman" w:eastAsia="Times New Roman" w:hAnsi="Times New Roman" w:cs="Times New Roman"/>
          <w:sz w:val="24"/>
          <w:szCs w:val="24"/>
        </w:rPr>
        <w:t>в схему</w:t>
      </w:r>
      <w:r w:rsidRPr="00076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большую шунтир</w:t>
      </w:r>
      <w:r w:rsidRPr="00076F70">
        <w:rPr>
          <w:rFonts w:ascii="Times New Roman" w:eastAsia="Times New Roman" w:hAnsi="Times New Roman" w:cs="Times New Roman"/>
          <w:sz w:val="24"/>
          <w:szCs w:val="24"/>
        </w:rPr>
        <w:t xml:space="preserve">ующую </w:t>
      </w:r>
      <w:r w:rsidRPr="00076F70">
        <w:rPr>
          <w:rFonts w:ascii="Times New Roman" w:eastAsia="Times New Roman" w:hAnsi="Times New Roman" w:cs="Times New Roman"/>
          <w:color w:val="000000"/>
          <w:sz w:val="24"/>
          <w:szCs w:val="24"/>
        </w:rPr>
        <w:t>индуктивность. В качестве активного элемента испол</w:t>
      </w:r>
      <w:r w:rsidRPr="00076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ьзуется </w:t>
      </w:r>
      <w:proofErr w:type="spellStart"/>
      <w:r w:rsidRPr="00076F70">
        <w:rPr>
          <w:rFonts w:ascii="Times New Roman" w:eastAsia="Times New Roman" w:hAnsi="Times New Roman" w:cs="Times New Roman"/>
          <w:color w:val="000000"/>
          <w:sz w:val="24"/>
          <w:szCs w:val="24"/>
        </w:rPr>
        <w:t>нанопроволока</w:t>
      </w:r>
      <w:proofErr w:type="spellEnd"/>
      <w:r w:rsidRPr="00076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ультратонкого алюминия [</w:t>
      </w:r>
      <w:r w:rsidR="0073576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076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]. Таким образом, в рамках данной работы исследуется гибридная система, обладающая свойствами </w:t>
      </w:r>
      <w:proofErr w:type="spellStart"/>
      <w:r w:rsidRPr="00076F70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трансмона</w:t>
      </w:r>
      <w:proofErr w:type="spellEnd"/>
      <w:r w:rsidRPr="00076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потокового </w:t>
      </w:r>
      <w:proofErr w:type="spellStart"/>
      <w:r w:rsidRPr="00076F70">
        <w:rPr>
          <w:rFonts w:ascii="Times New Roman" w:eastAsia="Times New Roman" w:hAnsi="Times New Roman" w:cs="Times New Roman"/>
          <w:color w:val="000000"/>
          <w:sz w:val="24"/>
          <w:szCs w:val="24"/>
        </w:rPr>
        <w:t>кубита</w:t>
      </w:r>
      <w:proofErr w:type="spellEnd"/>
      <w:r w:rsidRPr="00076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одновременно.</w:t>
      </w:r>
      <w:r w:rsidRPr="00076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6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Гамильтониан такого </w:t>
      </w:r>
      <w:proofErr w:type="spellStart"/>
      <w:r w:rsidRPr="00076F70">
        <w:rPr>
          <w:rFonts w:ascii="Times New Roman" w:eastAsia="Times New Roman" w:hAnsi="Times New Roman" w:cs="Times New Roman"/>
          <w:color w:val="000000"/>
          <w:sz w:val="24"/>
          <w:szCs w:val="24"/>
        </w:rPr>
        <w:t>кубита</w:t>
      </w:r>
      <w:proofErr w:type="spellEnd"/>
      <w:r w:rsidRPr="00076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имеет вид:</w:t>
      </w:r>
    </w:p>
    <w:p w14:paraId="0000000C" w14:textId="5BF2DEC9" w:rsidR="00B15B7B" w:rsidRPr="006F24BF" w:rsidRDefault="006F24BF" w:rsidP="006F24B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H=-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C</m:t>
              </m:r>
            </m:sub>
          </m:sSub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∂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∂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φ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J1</m:t>
              </m:r>
            </m:sub>
          </m:sSub>
          <m:func>
            <m:func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φ+k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ext</m:t>
                      </m:r>
                    </m:sub>
                  </m:sSub>
                </m:e>
              </m:d>
            </m:e>
          </m:func>
          <m:r>
            <w:rPr>
              <w:rFonts w:ascii="Cambria Math" w:eastAsia="Times New Roman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J2</m:t>
              </m:r>
            </m:sub>
          </m:sSub>
          <m:func>
            <m:func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φ-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1-k</m:t>
                      </m:r>
                    </m:e>
                  </m:d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ext</m:t>
                      </m:r>
                    </m:sub>
                  </m:sSub>
                </m:e>
              </m:d>
            </m:e>
          </m:func>
          <m:r>
            <w:rPr>
              <w:rFonts w:ascii="Cambria Math" w:eastAsia="Times New Roman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den>
          </m:f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L</m:t>
              </m:r>
            </m:sub>
          </m:sSub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φ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,</m:t>
          </m:r>
        </m:oMath>
      </m:oMathPara>
    </w:p>
    <w:p w14:paraId="0000000D" w14:textId="77777777" w:rsidR="00B15B7B" w:rsidRPr="00076F70" w:rsidRDefault="00786A00" w:rsidP="00076F7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F70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φ</m:t>
        </m:r>
      </m:oMath>
      <w:r w:rsidRPr="00076F70">
        <w:rPr>
          <w:rFonts w:ascii="Times New Roman" w:eastAsia="Times New Roman" w:hAnsi="Times New Roman" w:cs="Times New Roman"/>
          <w:sz w:val="24"/>
          <w:szCs w:val="24"/>
        </w:rPr>
        <w:t xml:space="preserve"> – поток,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C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L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J</m:t>
            </m:r>
          </m:sub>
        </m:sSub>
      </m:oMath>
      <w:r w:rsidR="006F24BF" w:rsidRPr="006F2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6F70">
        <w:rPr>
          <w:rFonts w:ascii="Times New Roman" w:eastAsia="Times New Roman" w:hAnsi="Times New Roman" w:cs="Times New Roman"/>
          <w:sz w:val="24"/>
          <w:szCs w:val="24"/>
        </w:rPr>
        <w:t xml:space="preserve">– емкостная, индуктивная и </w:t>
      </w:r>
      <w:proofErr w:type="spellStart"/>
      <w:r w:rsidRPr="00076F70">
        <w:rPr>
          <w:rFonts w:ascii="Times New Roman" w:eastAsia="Times New Roman" w:hAnsi="Times New Roman" w:cs="Times New Roman"/>
          <w:sz w:val="24"/>
          <w:szCs w:val="24"/>
        </w:rPr>
        <w:t>джозефсоновская</w:t>
      </w:r>
      <w:proofErr w:type="spellEnd"/>
      <w:r w:rsidRPr="00076F70">
        <w:rPr>
          <w:rFonts w:ascii="Times New Roman" w:eastAsia="Times New Roman" w:hAnsi="Times New Roman" w:cs="Times New Roman"/>
          <w:sz w:val="24"/>
          <w:szCs w:val="24"/>
        </w:rPr>
        <w:t xml:space="preserve"> энергии соответственно,</w:t>
      </w:r>
      <w:r w:rsidR="006F24BF" w:rsidRPr="006F2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ext</m:t>
            </m:r>
          </m:sub>
        </m:sSub>
      </m:oMath>
      <w:r w:rsidRPr="00076F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6F70">
        <w:rPr>
          <w:rFonts w:ascii="Times New Roman" w:eastAsia="Times New Roman" w:hAnsi="Times New Roman" w:cs="Times New Roman"/>
          <w:sz w:val="24"/>
          <w:szCs w:val="24"/>
        </w:rPr>
        <w:t>– внешний поток,</w:t>
      </w:r>
      <w:r w:rsidR="006F24BF" w:rsidRPr="006F2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k</m:t>
        </m:r>
      </m:oMath>
      <w:r w:rsidR="006F24BF" w:rsidRPr="006F2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6F70">
        <w:rPr>
          <w:rFonts w:ascii="Times New Roman" w:eastAsia="Times New Roman" w:hAnsi="Times New Roman" w:cs="Times New Roman"/>
          <w:sz w:val="24"/>
          <w:szCs w:val="24"/>
        </w:rPr>
        <w:t>– константа, определяемая соотношением площадей.</w:t>
      </w:r>
    </w:p>
    <w:p w14:paraId="0000000E" w14:textId="26C9EF31" w:rsidR="00B15B7B" w:rsidRPr="00076F70" w:rsidRDefault="00786A00" w:rsidP="00076F7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работе рассматривается поведение спектра такого </w:t>
      </w:r>
      <w:proofErr w:type="spellStart"/>
      <w:r w:rsidRPr="00076F70">
        <w:rPr>
          <w:rFonts w:ascii="Times New Roman" w:eastAsia="Times New Roman" w:hAnsi="Times New Roman" w:cs="Times New Roman"/>
          <w:color w:val="000000"/>
          <w:sz w:val="24"/>
          <w:szCs w:val="24"/>
        </w:rPr>
        <w:t>кубита</w:t>
      </w:r>
      <w:proofErr w:type="spellEnd"/>
      <w:r w:rsidRPr="00076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зависимости от параметров энерги</w:t>
      </w:r>
      <w:r w:rsidRPr="00076F7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076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величины</w:t>
      </w:r>
      <w:r w:rsidR="006F24BF" w:rsidRPr="006F2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k</m:t>
        </m:r>
      </m:oMath>
      <w:r w:rsidR="006F24BF" w:rsidRPr="006F24B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76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которые задаются при проектировании дизайна образца, и внешнего потока, который можно менять </w:t>
      </w:r>
      <w:r w:rsidRPr="00076F7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76F70">
        <w:rPr>
          <w:rFonts w:ascii="Times New Roman" w:eastAsia="Times New Roman" w:hAnsi="Times New Roman" w:cs="Times New Roman"/>
          <w:sz w:val="24"/>
          <w:szCs w:val="24"/>
        </w:rPr>
        <w:t xml:space="preserve">посредственно </w:t>
      </w:r>
      <w:r w:rsidRPr="00076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эксперименте. Для симметричного </w:t>
      </w:r>
      <w:proofErr w:type="spellStart"/>
      <w:r w:rsidRPr="00076F70">
        <w:rPr>
          <w:rFonts w:ascii="Times New Roman" w:eastAsia="Times New Roman" w:hAnsi="Times New Roman" w:cs="Times New Roman"/>
          <w:color w:val="000000"/>
          <w:sz w:val="24"/>
          <w:szCs w:val="24"/>
        </w:rPr>
        <w:t>кубита</w:t>
      </w:r>
      <w:proofErr w:type="spellEnd"/>
      <w:r w:rsidRPr="00076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k=1/2</m:t>
        </m:r>
      </m:oMath>
      <w:r w:rsidRPr="00076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наблюдаются режимы, соответствующие потоковому кубиту и ангармоническому осциллятору. </w:t>
      </w:r>
      <w:r w:rsidRPr="00076F70">
        <w:rPr>
          <w:rFonts w:ascii="Times New Roman" w:eastAsia="Times New Roman" w:hAnsi="Times New Roman" w:cs="Times New Roman"/>
          <w:sz w:val="24"/>
          <w:szCs w:val="24"/>
        </w:rPr>
        <w:t>В случае</w:t>
      </w:r>
      <w:r w:rsidRPr="00076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сильно несимметричного </w:t>
      </w:r>
      <w:proofErr w:type="spellStart"/>
      <w:r w:rsidRPr="00076F70">
        <w:rPr>
          <w:rFonts w:ascii="Times New Roman" w:eastAsia="Times New Roman" w:hAnsi="Times New Roman" w:cs="Times New Roman"/>
          <w:color w:val="000000"/>
          <w:sz w:val="24"/>
          <w:szCs w:val="24"/>
        </w:rPr>
        <w:t>кубита</w:t>
      </w:r>
      <w:proofErr w:type="spellEnd"/>
      <w:r w:rsidRPr="00076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k→1</m:t>
        </m:r>
      </m:oMath>
      <w:r w:rsidR="006F24BF" w:rsidRPr="006F24B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076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6F70">
        <w:rPr>
          <w:rFonts w:ascii="Times New Roman" w:eastAsia="Times New Roman" w:hAnsi="Times New Roman" w:cs="Times New Roman"/>
          <w:sz w:val="24"/>
          <w:szCs w:val="24"/>
        </w:rPr>
        <w:t xml:space="preserve">наблюдается </w:t>
      </w:r>
      <w:r w:rsidRPr="00076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режим, аналогичный </w:t>
      </w:r>
      <w:proofErr w:type="spellStart"/>
      <w:r w:rsidRPr="00076F70">
        <w:rPr>
          <w:rFonts w:ascii="Times New Roman" w:eastAsia="Times New Roman" w:hAnsi="Times New Roman" w:cs="Times New Roman"/>
          <w:color w:val="000000"/>
          <w:sz w:val="24"/>
          <w:szCs w:val="24"/>
        </w:rPr>
        <w:t>кубиту-трансмону</w:t>
      </w:r>
      <w:proofErr w:type="spellEnd"/>
      <w:r w:rsidRPr="00076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0F" w14:textId="77777777" w:rsidR="00B15B7B" w:rsidRPr="00076F70" w:rsidRDefault="00786A00" w:rsidP="00076F7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076F70">
        <w:rPr>
          <w:rFonts w:ascii="Times New Roman" w:eastAsia="Times New Roman" w:hAnsi="Times New Roman" w:cs="Times New Roman"/>
          <w:sz w:val="24"/>
          <w:szCs w:val="24"/>
        </w:rPr>
        <w:t>рамках да</w:t>
      </w:r>
      <w:r w:rsidRPr="00076F70">
        <w:rPr>
          <w:rFonts w:ascii="Times New Roman" w:eastAsia="Times New Roman" w:hAnsi="Times New Roman" w:cs="Times New Roman"/>
          <w:sz w:val="24"/>
          <w:szCs w:val="24"/>
        </w:rPr>
        <w:t>нного исследования</w:t>
      </w:r>
      <w:r w:rsidRPr="00076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производится поиск </w:t>
      </w:r>
      <w:r w:rsidRPr="00076F70">
        <w:rPr>
          <w:rFonts w:ascii="Times New Roman" w:eastAsia="Times New Roman" w:hAnsi="Times New Roman" w:cs="Times New Roman"/>
          <w:sz w:val="24"/>
          <w:szCs w:val="24"/>
        </w:rPr>
        <w:t>оптимальных</w:t>
      </w:r>
      <w:r w:rsidRPr="00076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параметров, </w:t>
      </w:r>
      <w:r w:rsidRPr="00076F70">
        <w:rPr>
          <w:rFonts w:ascii="Times New Roman" w:eastAsia="Times New Roman" w:hAnsi="Times New Roman" w:cs="Times New Roman"/>
          <w:sz w:val="24"/>
          <w:szCs w:val="24"/>
        </w:rPr>
        <w:t xml:space="preserve">при которых достигаются </w:t>
      </w:r>
      <w:r w:rsidRPr="00076F70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наиболь</w:t>
      </w:r>
      <w:r w:rsidRPr="00076F70">
        <w:rPr>
          <w:rFonts w:ascii="Times New Roman" w:eastAsia="Times New Roman" w:hAnsi="Times New Roman" w:cs="Times New Roman"/>
          <w:sz w:val="24"/>
          <w:szCs w:val="24"/>
        </w:rPr>
        <w:t>шие</w:t>
      </w:r>
      <w:r w:rsidRPr="00076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значени</w:t>
      </w:r>
      <w:r w:rsidRPr="00076F7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76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емкостной энергии и ангармонизма</w:t>
      </w:r>
      <w:r w:rsidRPr="00076F7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76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Актуально</w:t>
      </w:r>
      <w:r w:rsidRPr="00076F70">
        <w:rPr>
          <w:rFonts w:ascii="Times New Roman" w:eastAsia="Times New Roman" w:hAnsi="Times New Roman" w:cs="Times New Roman"/>
          <w:sz w:val="24"/>
          <w:szCs w:val="24"/>
        </w:rPr>
        <w:t>й для нас задачей является анализ применимости таких кубитов в многокубитных микросхемах.</w:t>
      </w:r>
    </w:p>
    <w:p w14:paraId="00000010" w14:textId="77777777" w:rsidR="00B15B7B" w:rsidRPr="00076F70" w:rsidRDefault="00786A00" w:rsidP="00076F70">
      <w:pPr>
        <w:spacing w:after="20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F70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вы</w:t>
      </w:r>
      <w:r w:rsidRPr="00076F70">
        <w:rPr>
          <w:rFonts w:ascii="Times New Roman" w:eastAsia="Times New Roman" w:hAnsi="Times New Roman" w:cs="Times New Roman"/>
          <w:sz w:val="24"/>
          <w:szCs w:val="24"/>
        </w:rPr>
        <w:t>полнения</w:t>
      </w:r>
      <w:r w:rsidRPr="00076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было показано, что для гибридного кубита в режиме трансмона возможно увеличить ангармонизм в два раза по сравнению с кубитами-трансмона</w:t>
      </w:r>
      <w:r w:rsidRPr="00076F70">
        <w:rPr>
          <w:rFonts w:ascii="Times New Roman" w:eastAsia="Times New Roman" w:hAnsi="Times New Roman" w:cs="Times New Roman"/>
          <w:color w:val="000000"/>
          <w:sz w:val="24"/>
          <w:szCs w:val="24"/>
        </w:rPr>
        <w:t>ми, произведенными по той же технологии. Предполагается, что с использованием гибридной схемы можно уменьшить характерный размер кубитов по сравнению с трансмонами, при этом сохраняя высокую устойчивость к зарядовому шуму и большие времена когерентности.</w:t>
      </w:r>
    </w:p>
    <w:p w14:paraId="00000011" w14:textId="77777777" w:rsidR="00B15B7B" w:rsidRPr="0073576D" w:rsidRDefault="00786A00">
      <w:pPr>
        <w:spacing w:before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F7970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6F7970">
        <w:rPr>
          <w:rFonts w:ascii="Times New Roman" w:eastAsia="Times New Roman" w:hAnsi="Times New Roman" w:cs="Times New Roman"/>
          <w:b/>
          <w:sz w:val="24"/>
          <w:szCs w:val="24"/>
        </w:rPr>
        <w:t>итература</w:t>
      </w:r>
    </w:p>
    <w:p w14:paraId="09DECBD7" w14:textId="433EAE2E" w:rsidR="0073576D" w:rsidRPr="0073576D" w:rsidRDefault="006F7970" w:rsidP="0073576D">
      <w:pPr>
        <w:pStyle w:val="a6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86A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Kalacheva D., Fedorov G., </w:t>
      </w:r>
      <w:proofErr w:type="spellStart"/>
      <w:r w:rsidRPr="00786A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Khrapach</w:t>
      </w:r>
      <w:proofErr w:type="spellEnd"/>
      <w:r w:rsidRPr="00786A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 I., </w:t>
      </w:r>
      <w:proofErr w:type="spellStart"/>
      <w:r w:rsidRPr="00786A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Astafiev</w:t>
      </w:r>
      <w:proofErr w:type="spellEnd"/>
      <w:r w:rsidRPr="00786A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 O. </w:t>
      </w:r>
      <w:r w:rsidRPr="007357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Coplanar superconducting resonators with nonlinear kinetic inductance bridge // Superconductor Science and Technology 2023.</w:t>
      </w:r>
    </w:p>
    <w:p w14:paraId="077805D5" w14:textId="75599CBC" w:rsidR="0073576D" w:rsidRPr="0073576D" w:rsidRDefault="0073576D" w:rsidP="0073576D">
      <w:pPr>
        <w:pStyle w:val="a6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86A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lastRenderedPageBreak/>
        <w:t xml:space="preserve">Houck A.A., Koch J., </w:t>
      </w:r>
      <w:proofErr w:type="spellStart"/>
      <w:r w:rsidRPr="00786A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Devoret</w:t>
      </w:r>
      <w:proofErr w:type="spellEnd"/>
      <w:r w:rsidRPr="00786A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 M.H., </w:t>
      </w:r>
      <w:proofErr w:type="spellStart"/>
      <w:r w:rsidRPr="00786A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Girvin</w:t>
      </w:r>
      <w:proofErr w:type="spellEnd"/>
      <w:r w:rsidRPr="00786A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 S.M., </w:t>
      </w:r>
      <w:proofErr w:type="spellStart"/>
      <w:r w:rsidRPr="00786A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Schoelkopf</w:t>
      </w:r>
      <w:proofErr w:type="spellEnd"/>
      <w:r w:rsidRPr="00786A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 R.J. </w:t>
      </w:r>
      <w:r w:rsidRPr="007357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Life after charge noise: recent results with transmon qubits // Quantum Information Processing 2009 V. 8(2–3). P. 105–115.</w:t>
      </w:r>
    </w:p>
    <w:p w14:paraId="00000012" w14:textId="002BC8A1" w:rsidR="00B15B7B" w:rsidRPr="0073576D" w:rsidRDefault="00786A00" w:rsidP="0073576D">
      <w:pPr>
        <w:pStyle w:val="a6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86A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Preskill</w:t>
      </w:r>
      <w:proofErr w:type="spellEnd"/>
      <w:r w:rsidRPr="00786A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 J.</w:t>
      </w:r>
      <w:r w:rsidRPr="007357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Quantum Computing in the NISQ era and beyond // Quantum 2018 V. 2. P. 79.</w:t>
      </w:r>
    </w:p>
    <w:sectPr w:rsidR="00B15B7B" w:rsidRPr="0073576D" w:rsidSect="003A34A1">
      <w:pgSz w:w="11906" w:h="16838"/>
      <w:pgMar w:top="1134" w:right="1361" w:bottom="1259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9397F"/>
    <w:multiLevelType w:val="hybridMultilevel"/>
    <w:tmpl w:val="D9EE1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A2B68"/>
    <w:multiLevelType w:val="multilevel"/>
    <w:tmpl w:val="BFB041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B7B"/>
    <w:rsid w:val="00076F70"/>
    <w:rsid w:val="001A7EED"/>
    <w:rsid w:val="002234E0"/>
    <w:rsid w:val="003A34A1"/>
    <w:rsid w:val="006F24BF"/>
    <w:rsid w:val="006F7970"/>
    <w:rsid w:val="0073576D"/>
    <w:rsid w:val="00786A00"/>
    <w:rsid w:val="00B15B7B"/>
    <w:rsid w:val="00ED7D9C"/>
    <w:rsid w:val="00FC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691BF26"/>
  <w15:docId w15:val="{5C8269BD-BA6B-47BC-96E1-3366D779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37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2437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243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laceholder Text"/>
    <w:basedOn w:val="a0"/>
    <w:uiPriority w:val="99"/>
    <w:semiHidden/>
    <w:rsid w:val="00400677"/>
    <w:rPr>
      <w:color w:val="808080"/>
    </w:rPr>
  </w:style>
  <w:style w:type="character" w:customStyle="1" w:styleId="apple-tab-span">
    <w:name w:val="apple-tab-span"/>
    <w:basedOn w:val="a0"/>
    <w:rsid w:val="005A4AE8"/>
  </w:style>
  <w:style w:type="paragraph" w:styleId="a6">
    <w:name w:val="List Paragraph"/>
    <w:basedOn w:val="a"/>
    <w:uiPriority w:val="34"/>
    <w:qFormat/>
    <w:rsid w:val="005A4AE8"/>
    <w:pPr>
      <w:ind w:left="720"/>
      <w:contextualSpacing/>
    </w:p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8">
    <w:name w:val="Hyperlink"/>
    <w:basedOn w:val="a0"/>
    <w:uiPriority w:val="99"/>
    <w:unhideWhenUsed/>
    <w:rsid w:val="00076F7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76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xiRvd987PmaZimZlOiXQUWc+7w==">CgMxLjAinAIKC0FBQUJHYTZQTHk4EuYBCgtBQUFCR2E2UEx5OBILQUFBQkdhNlBMeTgaDQoJdGV4dC9odG1sEgAiDgoKdGV4dC9wbGFpbhIAKhsiFTEwNzQwNDY0NDc3OTk2NDAwNzExMCgAOAAwqOGDkdsxOLzng5HbMUpGCiRhcHBsaWNhdGlvbi92bmQuZ29vZ2xlLWFwcHMuZG9jcy5tZHMaHsLX2uQBGAoWCggKAtCUEAEYABIICgLQtBABGAAYAVoMYTkzc3R0cnBrem5xcgIgAHgAggEUc3VnZ2VzdC45djk2aWNvb3lnYWKaAQYIABAAGACwAQC4AQAYqOGDkdsxILzng5HbMTAAQhRzdWdnZXN0Ljl2OTZpY29veWdhYjgAaicKFHN1Z2dlc3Qua2NyYTMxY2Iwd2xkEg9EYXJpYSBLYWxhY2hldmFqJwoUc3VnZ2VzdC5haG9udWZuYnhtd3ISD0RhcmlhIEthbGFjaGV2YWonChRzdWdnZXN0LmtyYXVqc3ZyMTVkehIPRGFyaWEgS2FsYWNoZXZhaicKFHN1Z2dlc3QuczRxMXg3OWExanpkEg9EYXJpYSBLYWxhY2hldmFqJwoUc3VnZ2VzdC5pOXFkcHZmYWJ0OTkSD0RhcmlhIEthbGFjaGV2YWomChNzdWdnZXN0Ljh6dXpxMWJmMzhkEg9EYXJpYSBLYWxhY2hldmFqJwoUc3VnZ2VzdC5hN3p5ZzNwZjQ0N2kSD0RhcmlhIEthbGFjaGV2YWonChRzdWdnZXN0LmQ4enRldGdieXYzbxIPRGFyaWEgS2FsYWNoZXZhaicKFHN1Z2dlc3QuazY3cHI3eDc1NXNvEg9EYXJpYSBLYWxhY2hldmFqJwoUc3VnZ2VzdC5zOHFtenJyeXAwbW8SD0RhcmlhIEthbGFjaGV2YWonChRzdWdnZXN0LmkyZXgzeGR6eXNmNBIPRGFyaWEgS2FsYWNoZXZhaicKFHN1Z2dlc3QuZmNlOHV6ejE0YTJkEg9EYXJpYSBLYWxhY2hldmFqJwoUc3VnZ2VzdC50OTgzeWhxdXJhbXMSD0RhcmlhIEthbGFjaGV2YWonChRzdWdnZXN0LjhucmNyOGVuZXJmcBIPRGFyaWEgS2FsYWNoZXZhaicKFHN1Z2dlc3QudmJ3cHl5NnFuaTV0Eg9EYXJpYSBLYWxhY2hldmFqJgoTc3VnZ2VzdC40Zmtham5mZ2FuehIPRGFyaWEgS2FsYWNoZXZhaicKFHN1Z2dlc3QuOXY5Nmljb295Z2FiEg9EYXJpYSBLYWxhY2hldmFqJwoUc3VnZ2VzdC50Nmw4ZXY4bDN4am8SD0RhcmlhIEthbGFjaGV2YWonChRzdWdnZXN0LnU2dzU1anZ6cHN5ZhIPRGFyaWEgS2FsYWNoZXZhaicKFHN1Z2dlc3QuY2g5eDlrZHZtMzBrEg9EYXJpYSBLYWxhY2hldmFqJgoTc3VnZ2VzdC55a3VqZGtkeXlmdRIPRGFyaWEgS2FsYWNoZXZhaicKFHN1Z2dlc3Quam9nenF2bzlyMGptEg9EYXJpYSBLYWxhY2hldmFyITFqcmw1X08wQlBPLVJHcmN1VXpqNWFjZnJ2ZlRPeC1N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Kirka</dc:creator>
  <cp:lastModifiedBy>Alex Kirka</cp:lastModifiedBy>
  <cp:revision>9</cp:revision>
  <dcterms:created xsi:type="dcterms:W3CDTF">2023-03-06T15:44:00Z</dcterms:created>
  <dcterms:modified xsi:type="dcterms:W3CDTF">2024-02-16T18:16:00Z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