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Численное моделирование фотонного тензорного ядра для аппаратного ускорения матрично-векторных вычислений.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Колосов Г.А.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Шорохов А.С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0" w:before="0" w:line="240" w:lineRule="auto"/>
        <w:ind w:left="0" w:right="227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Студент,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кандидат физико-математических наук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before="0" w:line="240" w:lineRule="auto"/>
        <w:ind w:left="0" w:right="227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МГУ им. М.В. Ломоносова, физический факультет,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80"/>
          <w:sz w:val="24"/>
          <w:szCs w:val="24"/>
          <w:u w:val="single"/>
          <w:vertAlign w:val="baseline"/>
          <w:rtl w:val="0"/>
        </w:rPr>
        <w:t xml:space="preserve">kolosov.ga20@physics.msu.ru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0" w:before="0" w:line="240" w:lineRule="auto"/>
        <w:ind w:left="227" w:right="227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ab/>
        <w:t xml:space="preserve">Темп развития традиционной кремниевой электроники снизился из-за сложностей в фабрикации структур нанометрового размера, 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 xml:space="preserve"> проявления квантовых эффектов (например, туннелировани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 xml:space="preserve"> электронов через очень малый затвор), принципиально ограничивающих размеры транзисторов. Вместе с этим возник ряд новых задач, для которых архитектура фон Неймана не является оптимальной: создание искусственного интеллекта, моделирование макромолекул и т.д.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0" w:before="0" w:lineRule="auto"/>
        <w:ind w:left="227" w:right="227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ab/>
        <w:t xml:space="preserve">Для создания более подходящей вычислительной архитектуры для искусственных нейронных сетей была предложена идея аналогового фотонного вычислителя [1], который может обладать существенно более высокой производительностью и энергоэффективностью относительно электронных аналогов.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0" w:before="0" w:lineRule="auto"/>
        <w:ind w:left="227" w:right="227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ab/>
        <w:t xml:space="preserve">В данной работе 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программной среде ANSYS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 xml:space="preserve">Lumerical Interconnect была построена модель аналогового фотонного вычислительного устройства на основе архитектуры кроссбар [2]. В качестве модуляторов входного вектора были использованы модуляторы Маха-Цендера [3] или микрокольцевые модуляторы [4]. При построении модели были учтены потери в каждом элементе оптической цепи (модуляторах [3-4], пересечениях волноводов [5], и т.д.), 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 xml:space="preserve"> дисперсия направленных ответвителей, так как в системе используются множество длин волн для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устранения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 xml:space="preserve">эффекта деструктивной интерференции. Параметры детекторов на выходе из массива были оптимизированы с точки зрения минимизации количества битовых ошибок вычислений.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0" w:before="0" w:lineRule="auto"/>
        <w:ind w:left="227" w:right="227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ab/>
        <w:t xml:space="preserve">Была показана возможность с помощью данной модели производить матрично-векторные вычисления с необходимой для нужд искусственного интеллекта точностью. Так же была исследована эффективность проведения операции свертки в оптическом аналоговом домене, что показано на рис. 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0" w:before="0" w:lineRule="auto"/>
        <w:ind w:left="227" w:right="227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ab/>
        <w:t xml:space="preserve">Для построенной модели численно были получены оценки максимальной мощности на выходе цепи, мощности минимального полезного сигнала и мощности шумов в системе, что позволило получить оценки предельного размера кроссбар-массива фотонного тензорного ядра для различной требуемой точности вычислений. Исходя из данных о предельном размере массива была рассчитана энергоэффективность и производительность конечного устройства, что отображено на рис.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0" w:before="0" w:lineRule="auto"/>
        <w:ind w:left="227" w:right="227" w:firstLine="0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0" w:before="0" w:lineRule="auto"/>
        <w:ind w:left="227" w:right="227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 xml:space="preserve">Рис. 1. Пример реализации операции свертки. Верхний ряд — эталонная свертка с помощью пакета numpy, нижний ряд — свертка с помощью модели фотонного тензорного ядра. Справа исходная картинка из датасета CIFAR-10.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230505</wp:posOffset>
            </wp:positionH>
            <wp:positionV relativeFrom="paragraph">
              <wp:posOffset>635</wp:posOffset>
            </wp:positionV>
            <wp:extent cx="5659120" cy="1885315"/>
            <wp:effectExtent b="0" l="0" r="0" t="0"/>
            <wp:wrapSquare wrapText="bothSides" distB="0" distT="0" distL="0" distR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885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widowControl w:val="1"/>
        <w:spacing w:after="0" w:before="0" w:lineRule="auto"/>
        <w:ind w:left="227" w:right="227" w:firstLine="0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after="0" w:before="0" w:lineRule="auto"/>
        <w:ind w:left="283" w:right="283" w:firstLine="0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0" w:before="0" w:lineRule="auto"/>
        <w:ind w:left="227" w:right="227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 xml:space="preserve">Рис. 2. Слева расчет энергоэффективности конечной системы в пикоджоулях на операцию. Справа расчет производительности в тераоперациях в секунду. На обоих графиках по оси х отложена требуемая битовая точность операций.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196215</wp:posOffset>
            </wp:positionH>
            <wp:positionV relativeFrom="paragraph">
              <wp:posOffset>47625</wp:posOffset>
            </wp:positionV>
            <wp:extent cx="2879725" cy="2204720"/>
            <wp:effectExtent b="0" l="0" r="0" t="0"/>
            <wp:wrapSquare wrapText="bothSides" distB="0" distT="0" distL="0" distR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1" l="0" r="0" t="1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204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3075305</wp:posOffset>
            </wp:positionH>
            <wp:positionV relativeFrom="paragraph">
              <wp:posOffset>47625</wp:posOffset>
            </wp:positionV>
            <wp:extent cx="2879725" cy="2204720"/>
            <wp:effectExtent b="0" l="0" r="0" t="0"/>
            <wp:wrapSquare wrapText="bothSides" distB="0" distT="0" distL="0" distR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1" l="0" r="0" t="1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204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widowControl w:val="1"/>
        <w:spacing w:after="0" w:before="0" w:lineRule="auto"/>
        <w:ind w:left="227" w:right="227" w:firstLine="0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0" w:before="0" w:lineRule="auto"/>
        <w:ind w:left="283" w:right="28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u w:val="none"/>
          <w:vertAlign w:val="baseline"/>
          <w:rtl w:val="0"/>
        </w:rPr>
        <w:t xml:space="preserve">Литература: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0" w:before="0" w:lineRule="auto"/>
        <w:ind w:left="283" w:right="28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 xml:space="preserve">1. Kitayama K. et al. Novel frontier of photonics for data processing—Photonic accelerator //Apl Photonics. – 2019. – Т. 4. – №. 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0" w:before="0" w:lineRule="auto"/>
        <w:ind w:left="283" w:right="283" w:firstLine="0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 xml:space="preserve">2. Feldmann J. et al. Parallel convolutional processing using an integrated photonic tensor core //Nature. – 2021. – Т. 589. – №. 7840. – С. 52-58. </w:t>
      </w:r>
    </w:p>
    <w:p w:rsidR="00000000" w:rsidDel="00000000" w:rsidP="00000000" w:rsidRDefault="00000000" w:rsidRPr="00000000" w14:paraId="00000015">
      <w:pPr>
        <w:widowControl w:val="1"/>
        <w:spacing w:after="0" w:before="0" w:lineRule="auto"/>
        <w:ind w:left="283" w:right="283" w:firstLine="0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 xml:space="preserve">3. Liao L. et al. High speed silicon Mach-Zehnder modulator //Optics express. – 2005. – Т. 13. – №. 8. – С. 3129-3135. </w:t>
      </w:r>
    </w:p>
    <w:p w:rsidR="00000000" w:rsidDel="00000000" w:rsidP="00000000" w:rsidRDefault="00000000" w:rsidRPr="00000000" w14:paraId="00000016">
      <w:pPr>
        <w:widowControl w:val="1"/>
        <w:spacing w:after="0" w:before="0" w:lineRule="auto"/>
        <w:ind w:left="283" w:right="28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 xml:space="preserve">4. Dong P. et al. Wavelength-tunable silicon microring modulator //Optics express. – 2010. – Т. 18. – №. 11. – С. 10941-10946.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0" w:before="0" w:lineRule="auto"/>
        <w:ind w:left="283" w:right="283" w:firstLine="0"/>
        <w:jc w:val="both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Wu S. et al. State-of-the-art and perspectives on silicon waveguide crossings: A review //Micromachines. – 2020. – Т. 11. – №. 3. – С. 326.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0" w:before="0" w:lineRule="auto"/>
        <w:ind w:left="283" w:right="283" w:firstLine="0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0" w:before="0" w:lineRule="auto"/>
        <w:ind w:left="283" w:right="283" w:firstLine="0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after="0" w:before="0" w:lineRule="auto"/>
        <w:ind w:left="283" w:right="283" w:firstLine="0"/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/>
      <w:jc/>
    </w:pPr>
    <w:rPr>
      <w:rFonts w:ascii="Liberation Serif" w:cs="Lucida Sans" w:eastAsia="NSimSun" w:hAnsi="Liberation Serif"/>
      <w:color w:val="auto"/>
      <w:kern w:val="2"/>
      <w:sz w:val="24"/>
      <w:szCs w:val="24"/>
      <w:lang w:bidi="hi-IN" w:eastAsia="zh-CN" w:val="ru-RU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Style16">
    <w:name w:val="Body Text"/>
    <w:basedOn w:val="Normal"/>
    <w:pPr>
      <w:spacing w:after="140" w:before="0" w:line="276" w:lineRule="auto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Style19">
    <w:name w:val="Указатель"/>
    <w:basedOn w:val="Normal"/>
    <w:qFormat w:val="1"/>
    <w:pPr>
      <w:suppressLineNumbers w:val="1"/>
    </w:pPr>
    <w:rPr>
      <w:rFonts w:cs="Lucida San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UPT1iItAoa39q6ybWiAmc7mFnQ==">CgMxLjA4AHIhMVp3LUZxNHhhREppQWFzcjBqS21zZVdTNDRUdGxwOGxq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2024-02-08T14:47:40Z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