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Феномен греческих “телеокон”: речевая стратегия контроля коммуникативной инициативы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Герасимова Ксения Вячеславовна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М.В. Ломоносова, Москва, Россия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Несмотря на широкое распространение интернета, телевидение на сегодняшний день сохраняет сильные позиции источника информации во всех странах мира. Согласно последним доступным данным, среднее время просмотра телевизионных программ в Греции на 2021 год составляет 5 часов 3 минуты ежедневно [Stroll]. Наибольшее количество просмотров традиционно набирают художественные передачи (фильмы, сериалы и проч.), однако на втором месте по популярности находятся информационные и публицистические программы. Коммуникативное поведение их участников, отражающее узус коммуникативного поведения греков в целом и влияющее в то же время на формирование новой речевой нормы (‘непросто решить, влияет ли язык &lt;…&gt; на медиа, которые лишь распространяют его на большую аудиторию, или медиа преобразуют язык, играя фундаментальную роль в его развитии’ [Πολίτης: 11]), является ценным материалом для исследования в рамках этнолингвистики, поскольку позволяет сформулировать принципы, особенности устного общения носителей греческого языка. Подробное описание коммуникативного поведения этноса в свою очередь необходимо не только для успешного осуществления межкультурного общения, но и для «очеловечивания» новых технологий, таких как голосовые помощники и т.д.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Отличительной чертой, феноменом греческих информационных и публицистических телевизионных передач на протяжении нескольких десятилетий считаются т.н.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τηλεπαράθυρα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(‘телеокна’). «Телеокном» называется область на экране, в которую помещено видео, в режиме реального времени демонстрирующее голову или – реже – голову и торс спикера, находящегося в студии или вне ее. Задача спикера, помещенного в «телеокно» – выражение собственного взгляда или взгляда некоторой социальной группы на обсуждаемое в студии событие. Данное явление не представляется уникальным, наблюдаемым только на греческом телевидении. «Телеокна» часто встречаются в европейских и – гораздо чаще – американских программах. Однако только для греческого телевидения нормой является присутствие на экране более двух «телеокон», одновременное звучание и диалог или полилог помещенных в них спикеров. В подобных условиях спикерам необходимо постоянно контролировать коммуникативную инициативу, чтобы иметь возможность донести собственную оценку информации до коллег и зрителей. </w:t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Неподготовленный наблюдатель в лице иностранца при столкновении с феноменом греческих «телеокон» может испытать коммуникативный шок – «резкое осознаваемое расхождение в нормах и традициях общения народов, проявляющееся в условиях непосредственной межкультурной коммуникации и выражающееся в непонимании, неадекватной интерпретации или прямом отторжении той или иной коммуникативной нормы или традиции народа представителем гостевой лингвокультурной общности с позиций собственной коммуникативной культуры» [Прохоров: 7]. Коммуникативный шок может привести к возникновению страха общения, неприязни к конкретному этносу – факторам, препятствующим осуществлению успешной межкультурной коммуникации.</w:t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настоящей работы является выявление и анализ в речи спикеров, помещенных в «телеокна», коммуникативных ходов, вербальных и невербальных, составляющих коммуникативные тактики, из которых в свою очередь складывается коммуникативная стратегия контроля коммуникативной инициативы носителей греческой лингвокультуры, и их дальнейшее описание. Источником материала для анализа стали фрагменты утренних ток-шоу, т.н.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πρωινάδικα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именно «Δύο στις 10», «Στούντιο 4», «MEGA Καλημέρα», «ΠΑΜΕ ΔΑΝΑΗ».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исследования были выявлены такие коммуникативные тактики, как «подсказка», «привлечение внимания», «активное согласие», «неполное согласие», «несогласие» и др. Тактика «подсказка» вербально реализуется произнесением слова, которое планировал произнести держащий речь спикер, раньше его или одновременно с ним, и невербально сопровождается повышением тона голоса относительно предыдущего говорящего. Тактика «привлечение внимания» вербально выражается во фразах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Ακούστε!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»,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Άκουσέ με!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»,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Μισό λεπτό!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» (‘Послушайте!’, ‘Послушай меня!’, ‘Секундочку!’), обращениях (например,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Παιδιά!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» (‘Ребята!’) или по имени), невербально может сопровождаться жестом, при котором указательный палец направлен как бы на виртуального собеседника.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Тактика «активное согласие» предполагает постоянное громкое и отчетливое повторение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Ναι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» (‘Да’), часто сопровождаемое кивками и движением уголков губ вниз, во время речи другого спикера, и мгновенное перехватывание инициативы при завершении его сообщения. Тактики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«неполное согласие» и «несогласие» реализуются при помощи перебивания собеседника или паралелльного с ним говорения повышенным тоном, сопровождаемыми поднятием бровей и активной жестикуляцией.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Коммуникативная стратегия контроля коммуникативной инициативы носителей греческой лингвокультуры достаточно резко отличается от наблюдаемой в дискурсивном пространстве русскоязычных ток-шоу. Феномены перебивания и параллельного говорения оцениваются гораздо менее негативно, приближены к норме. Для греческого коммуникативного поведения характерна крайне активное участие жестикуляции, мимики. 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Прохоров Ю. Е. Русские: коммуникативное поведение : учебное пособие / Ю. Е. Прохоров, И. А. Стернин. 5-е изд., стер. М.: ФЛИНТА, 2016.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Stroll J. Daily television viewing time in European countries 2021: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https://www.statista.com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Πολίτης Π. Η γλώσσα της τηλεοπτικής ενημέρωσης: τα δελτία ειδήσεων της ελληνικής τηλεόρασης (1980 – 2010). Πρώτη έκ. Θεσσαλονίκη : Τριανταφύλλου mtprint, 2014.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" w:top="1133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pPr>
      <w:spacing w:after="0" w:line="276" w:lineRule="auto"/>
    </w:pPr>
    <w:rPr>
      <w:lang w:val="ru"/>
    </w:rPr>
  </w:style>
  <w:style w:type="paragraph" w:styleId="1">
    <w:name w:val="heading 1"/>
    <w:basedOn w:val="a"/>
    <w:next w:val="a"/>
    <w:link w:val="10"/>
    <w:uiPriority w:val="9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99"/>
    <w:semiHidden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E760FF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val="ru"/>
    </w:rPr>
  </w:style>
  <w:style w:type="character" w:styleId="20" w:customStyle="1">
    <w:name w:val="Заголовок 2 Знак"/>
    <w:basedOn w:val="a0"/>
    <w:link w:val="2"/>
    <w:uiPriority w:val="9"/>
    <w:semiHidden w:val="1"/>
    <w:rsid w:val="00E760FF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  <w:lang w:val="ru"/>
    </w:rPr>
  </w:style>
  <w:style w:type="character" w:styleId="30" w:customStyle="1">
    <w:name w:val="Заголовок 3 Знак"/>
    <w:basedOn w:val="a0"/>
    <w:link w:val="3"/>
    <w:uiPriority w:val="9"/>
    <w:semiHidden w:val="1"/>
    <w:rsid w:val="00E760FF"/>
    <w:rPr>
      <w:rFonts w:asciiTheme="majorHAnsi" w:cstheme="majorBidi" w:eastAsiaTheme="majorEastAsia" w:hAnsiTheme="majorHAnsi"/>
      <w:b w:val="1"/>
      <w:bCs w:val="1"/>
      <w:sz w:val="26"/>
      <w:szCs w:val="26"/>
      <w:lang w:val="ru"/>
    </w:rPr>
  </w:style>
  <w:style w:type="character" w:styleId="40" w:customStyle="1">
    <w:name w:val="Заголовок 4 Знак"/>
    <w:basedOn w:val="a0"/>
    <w:link w:val="4"/>
    <w:uiPriority w:val="9"/>
    <w:semiHidden w:val="1"/>
    <w:rsid w:val="00E760FF"/>
    <w:rPr>
      <w:rFonts w:asciiTheme="minorHAnsi" w:cstheme="minorBidi" w:eastAsiaTheme="minorEastAsia" w:hAnsiTheme="minorHAnsi"/>
      <w:b w:val="1"/>
      <w:bCs w:val="1"/>
      <w:sz w:val="28"/>
      <w:szCs w:val="28"/>
      <w:lang w:val="ru"/>
    </w:rPr>
  </w:style>
  <w:style w:type="character" w:styleId="50" w:customStyle="1">
    <w:name w:val="Заголовок 5 Знак"/>
    <w:basedOn w:val="a0"/>
    <w:link w:val="5"/>
    <w:uiPriority w:val="9"/>
    <w:semiHidden w:val="1"/>
    <w:rsid w:val="00E760FF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val="ru"/>
    </w:rPr>
  </w:style>
  <w:style w:type="character" w:styleId="60" w:customStyle="1">
    <w:name w:val="Заголовок 6 Знак"/>
    <w:basedOn w:val="a0"/>
    <w:link w:val="6"/>
    <w:uiPriority w:val="9"/>
    <w:semiHidden w:val="1"/>
    <w:rsid w:val="00E760FF"/>
    <w:rPr>
      <w:rFonts w:asciiTheme="minorHAnsi" w:cstheme="minorBidi" w:eastAsiaTheme="minorEastAsia" w:hAnsiTheme="minorHAnsi"/>
      <w:b w:val="1"/>
      <w:bCs w:val="1"/>
      <w:lang w:val="ru"/>
    </w:rPr>
  </w:style>
  <w:style w:type="table" w:styleId="TableNormal" w:customStyle="1">
    <w:name w:val="Table Normal"/>
    <w:uiPriority w:val="99"/>
    <w:pPr>
      <w:spacing w:after="0" w:line="276" w:lineRule="auto"/>
    </w:pPr>
    <w:rPr>
      <w:lang w:val="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99"/>
    <w:qFormat w:val="1"/>
    <w:pPr>
      <w:keepNext w:val="1"/>
      <w:keepLines w:val="1"/>
      <w:spacing w:after="60"/>
    </w:pPr>
    <w:rPr>
      <w:sz w:val="52"/>
      <w:szCs w:val="52"/>
    </w:rPr>
  </w:style>
  <w:style w:type="character" w:styleId="a4" w:customStyle="1">
    <w:name w:val="Заголовок Знак"/>
    <w:basedOn w:val="a0"/>
    <w:link w:val="a3"/>
    <w:uiPriority w:val="10"/>
    <w:rsid w:val="00E760FF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val="ru"/>
    </w:rPr>
  </w:style>
  <w:style w:type="paragraph" w:styleId="a5">
    <w:name w:val="Subtitle"/>
    <w:basedOn w:val="a"/>
    <w:next w:val="a"/>
    <w:link w:val="a6"/>
    <w:uiPriority w:val="99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6" w:customStyle="1">
    <w:name w:val="Подзаголовок Знак"/>
    <w:basedOn w:val="a0"/>
    <w:link w:val="a5"/>
    <w:uiPriority w:val="11"/>
    <w:rsid w:val="00E760FF"/>
    <w:rPr>
      <w:rFonts w:asciiTheme="majorHAnsi" w:cstheme="majorBidi" w:eastAsiaTheme="majorEastAsia" w:hAnsiTheme="majorHAnsi"/>
      <w:sz w:val="24"/>
      <w:szCs w:val="24"/>
      <w:lang w:val="ru"/>
    </w:rPr>
  </w:style>
  <w:style w:type="paragraph" w:styleId="a7">
    <w:name w:val="Balloon Text"/>
    <w:basedOn w:val="a"/>
    <w:link w:val="a8"/>
    <w:uiPriority w:val="99"/>
    <w:semiHidden w:val="1"/>
    <w:locked w:val="1"/>
    <w:rsid w:val="00474E88"/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E760FF"/>
    <w:rPr>
      <w:rFonts w:ascii="Segoe UI" w:cs="Segoe UI" w:hAnsi="Segoe UI"/>
      <w:sz w:val="18"/>
      <w:szCs w:val="18"/>
      <w:lang w:val="ru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atista.com/statistics/422719/tv-daily-viewing-time-europe/#statisticContai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jD7CpVojz4gIJ6n8tIvwKwE+w==">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2024-02-27T16:33:00Z</dcterms:created>
</cp:coreProperties>
</file>