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8F3B" w14:textId="26C9BCC2" w:rsidR="007967F9" w:rsidRDefault="00B25F5E" w:rsidP="00D37F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F5E">
        <w:rPr>
          <w:rFonts w:ascii="Times New Roman" w:hAnsi="Times New Roman"/>
          <w:b/>
          <w:bCs/>
          <w:sz w:val="24"/>
          <w:szCs w:val="24"/>
        </w:rPr>
        <w:t>Способы элиминации лакун в публицистических текстах</w:t>
      </w:r>
    </w:p>
    <w:p w14:paraId="245B2CA1" w14:textId="1F9A088B" w:rsidR="00977880" w:rsidRPr="00B25F5E" w:rsidRDefault="00977880" w:rsidP="00D37F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(на материале шведского языка)</w:t>
      </w:r>
    </w:p>
    <w:p w14:paraId="5DEB41FC" w14:textId="01BC817D" w:rsidR="00B25F5E" w:rsidRPr="00B25F5E" w:rsidRDefault="00B25F5E" w:rsidP="00D37F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3039E">
        <w:rPr>
          <w:rFonts w:ascii="Times New Roman" w:hAnsi="Times New Roman"/>
          <w:sz w:val="24"/>
          <w:szCs w:val="24"/>
        </w:rPr>
        <w:t>Копылова Инесса Юрьевна</w:t>
      </w:r>
    </w:p>
    <w:p w14:paraId="254F3CB6" w14:textId="5F41FCB2" w:rsidR="00B25F5E" w:rsidRDefault="00B25F5E" w:rsidP="00D37F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3039E">
        <w:rPr>
          <w:rFonts w:ascii="Times New Roman" w:hAnsi="Times New Roman"/>
          <w:sz w:val="24"/>
          <w:szCs w:val="24"/>
        </w:rPr>
        <w:t>Студентка Военного университета Министерства обороны Российской Федерации имени князя Александра Невского, Россия, Москва</w:t>
      </w:r>
    </w:p>
    <w:p w14:paraId="6865670A" w14:textId="77777777" w:rsidR="00D37F14" w:rsidRDefault="00D37F14" w:rsidP="00D37F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881030" w14:textId="3B68C37D" w:rsidR="00871912" w:rsidRDefault="00871912" w:rsidP="00D541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Лакуны – это единицы </w:t>
      </w:r>
      <w:r w:rsidRPr="00871912">
        <w:rPr>
          <w:rFonts w:ascii="Times New Roman" w:hAnsi="Times New Roman"/>
          <w:sz w:val="24"/>
          <w:szCs w:val="24"/>
        </w:rPr>
        <w:t xml:space="preserve">словаря одного из языков, </w:t>
      </w:r>
      <w:r w:rsidR="00D37F14">
        <w:rPr>
          <w:rFonts w:ascii="Times New Roman" w:hAnsi="Times New Roman"/>
          <w:sz w:val="24"/>
          <w:szCs w:val="24"/>
        </w:rPr>
        <w:t xml:space="preserve">для </w:t>
      </w:r>
      <w:r w:rsidRPr="00871912">
        <w:rPr>
          <w:rFonts w:ascii="Times New Roman" w:hAnsi="Times New Roman"/>
          <w:sz w:val="24"/>
          <w:szCs w:val="24"/>
        </w:rPr>
        <w:t>которы</w:t>
      </w:r>
      <w:r w:rsidR="00D37F14">
        <w:rPr>
          <w:rFonts w:ascii="Times New Roman" w:hAnsi="Times New Roman"/>
          <w:sz w:val="24"/>
          <w:szCs w:val="24"/>
        </w:rPr>
        <w:t>х</w:t>
      </w:r>
      <w:r w:rsidRPr="00871912">
        <w:rPr>
          <w:rFonts w:ascii="Times New Roman" w:hAnsi="Times New Roman"/>
          <w:sz w:val="24"/>
          <w:szCs w:val="24"/>
        </w:rPr>
        <w:t xml:space="preserve"> по каким-то причинам нет соответствий в лексическом составе (в виде слов или устойчивых словосочетаний) другого языка</w:t>
      </w:r>
      <w:r w:rsidR="009F5310">
        <w:rPr>
          <w:rFonts w:ascii="Times New Roman" w:hAnsi="Times New Roman"/>
          <w:sz w:val="24"/>
          <w:szCs w:val="24"/>
        </w:rPr>
        <w:t xml:space="preserve"> </w:t>
      </w:r>
      <w:r w:rsidR="009F5310" w:rsidRPr="009F5310">
        <w:rPr>
          <w:rFonts w:ascii="Times New Roman" w:hAnsi="Times New Roman"/>
          <w:sz w:val="24"/>
          <w:szCs w:val="24"/>
        </w:rPr>
        <w:t>[Бархударов</w:t>
      </w:r>
      <w:r w:rsidR="00D73D3C">
        <w:rPr>
          <w:rFonts w:ascii="Times New Roman" w:hAnsi="Times New Roman"/>
          <w:sz w:val="24"/>
          <w:szCs w:val="24"/>
        </w:rPr>
        <w:t xml:space="preserve"> 1975</w:t>
      </w:r>
      <w:r w:rsidR="009F5310" w:rsidRPr="009F5310">
        <w:rPr>
          <w:rFonts w:ascii="Times New Roman" w:hAnsi="Times New Roman"/>
          <w:sz w:val="24"/>
          <w:szCs w:val="24"/>
        </w:rPr>
        <w:t>: 95].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71F6C7" w14:textId="77777777" w:rsidR="00C31240" w:rsidRPr="00C31240" w:rsidRDefault="00C31240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240">
        <w:rPr>
          <w:rFonts w:ascii="Times New Roman" w:hAnsi="Times New Roman"/>
          <w:sz w:val="24"/>
          <w:szCs w:val="24"/>
        </w:rPr>
        <w:t xml:space="preserve">Главной задачей переводоведения является решение вопроса о том, как наиболее адекватно передать лакуны на язык перевода. В связи с этим можно выделить две основные трудности при передаче лакун в переводе: </w:t>
      </w:r>
    </w:p>
    <w:p w14:paraId="6814E2CB" w14:textId="77777777" w:rsidR="00C31240" w:rsidRPr="00C31240" w:rsidRDefault="00C31240" w:rsidP="00D54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240">
        <w:rPr>
          <w:rFonts w:ascii="Times New Roman" w:hAnsi="Times New Roman"/>
          <w:sz w:val="24"/>
          <w:szCs w:val="24"/>
        </w:rPr>
        <w:t>отсутствие в ПЯ соответствия (эквивалента, аналога) в связи с культурными различиями</w:t>
      </w:r>
    </w:p>
    <w:p w14:paraId="5F885D59" w14:textId="01C2E09F" w:rsidR="00C31240" w:rsidRDefault="00C31240" w:rsidP="00D54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240">
        <w:rPr>
          <w:rFonts w:ascii="Times New Roman" w:hAnsi="Times New Roman"/>
          <w:sz w:val="24"/>
          <w:szCs w:val="24"/>
        </w:rPr>
        <w:t>необходимость передать национальную и историческую окраску наряду с семантикой [Абдурахзакова</w:t>
      </w:r>
      <w:r w:rsidR="00D73D3C">
        <w:rPr>
          <w:rFonts w:ascii="Times New Roman" w:hAnsi="Times New Roman"/>
          <w:sz w:val="24"/>
          <w:szCs w:val="24"/>
        </w:rPr>
        <w:t xml:space="preserve"> 2012</w:t>
      </w:r>
      <w:r w:rsidRPr="00C31240">
        <w:rPr>
          <w:rFonts w:ascii="Times New Roman" w:hAnsi="Times New Roman"/>
          <w:sz w:val="24"/>
          <w:szCs w:val="24"/>
        </w:rPr>
        <w:t xml:space="preserve">: 97]. </w:t>
      </w:r>
    </w:p>
    <w:p w14:paraId="50C6E251" w14:textId="59EBA8B0" w:rsidR="00826D40" w:rsidRDefault="00826D40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элиминации лакун переводчики используют следующие приемы: </w:t>
      </w:r>
      <w:r w:rsidRPr="00826D40">
        <w:rPr>
          <w:rFonts w:ascii="Times New Roman" w:hAnsi="Times New Roman"/>
          <w:sz w:val="24"/>
          <w:szCs w:val="24"/>
        </w:rPr>
        <w:t>транскрипция, транслитерация, калькирование, описательный перевод, создание соответствий-аналогов, конкретизация или генерализация, нейтрализация или эмфаза [Там же: 98].</w:t>
      </w:r>
    </w:p>
    <w:p w14:paraId="6E9B0ADF" w14:textId="305FCF0D" w:rsidR="000D25FE" w:rsidRPr="000D25FE" w:rsidRDefault="00AE095A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95A">
        <w:rPr>
          <w:rFonts w:ascii="Times New Roman" w:hAnsi="Times New Roman"/>
          <w:sz w:val="24"/>
          <w:szCs w:val="24"/>
        </w:rPr>
        <w:t>В статье рассматриваются примеры лексических лакун в языковой паре «шведский-русский». Все подобранные нами примеры лексических лакун являются сложносоставными словами, или, композитами. Расхождения в интенсивности использования и характере словосложения в шведском и русском языках создают определенные трудности при переводе текстов, содержащих эти слова [Миловидова, Семшова</w:t>
      </w:r>
      <w:r w:rsidR="00D73D3C">
        <w:rPr>
          <w:rFonts w:ascii="Times New Roman" w:hAnsi="Times New Roman"/>
          <w:sz w:val="24"/>
          <w:szCs w:val="24"/>
        </w:rPr>
        <w:t xml:space="preserve"> 2009</w:t>
      </w:r>
      <w:r w:rsidRPr="00AE095A">
        <w:rPr>
          <w:rFonts w:ascii="Times New Roman" w:hAnsi="Times New Roman"/>
          <w:sz w:val="24"/>
          <w:szCs w:val="24"/>
        </w:rPr>
        <w:t xml:space="preserve">: 268]. </w:t>
      </w:r>
      <w:r w:rsidR="00D37F14">
        <w:rPr>
          <w:rFonts w:ascii="Times New Roman" w:hAnsi="Times New Roman"/>
          <w:sz w:val="24"/>
          <w:szCs w:val="24"/>
        </w:rPr>
        <w:t>Возможности образования композитов в шведском языке практически не ограничены</w:t>
      </w:r>
      <w:r w:rsidR="00D541C4">
        <w:rPr>
          <w:rFonts w:ascii="Times New Roman" w:hAnsi="Times New Roman"/>
          <w:sz w:val="24"/>
          <w:szCs w:val="24"/>
        </w:rPr>
        <w:t xml:space="preserve">; зачастую смысловая связь между компонентами опосредована, порой метафорична, </w:t>
      </w:r>
      <w:r w:rsidR="00D37F14">
        <w:rPr>
          <w:rFonts w:ascii="Times New Roman" w:hAnsi="Times New Roman"/>
          <w:sz w:val="24"/>
          <w:szCs w:val="24"/>
        </w:rPr>
        <w:t xml:space="preserve">и </w:t>
      </w:r>
      <w:r w:rsidR="00D541C4">
        <w:rPr>
          <w:rFonts w:ascii="Times New Roman" w:hAnsi="Times New Roman"/>
          <w:sz w:val="24"/>
          <w:szCs w:val="24"/>
        </w:rPr>
        <w:t xml:space="preserve">значение композита не складывается напрямую из суммы значений его компонентов. В данной статье мы сосредоточимся именно на таких примерах. </w:t>
      </w:r>
      <w:r w:rsidR="00D37F14">
        <w:rPr>
          <w:rFonts w:ascii="Times New Roman" w:hAnsi="Times New Roman"/>
          <w:sz w:val="24"/>
          <w:szCs w:val="24"/>
        </w:rPr>
        <w:t>П</w:t>
      </w:r>
      <w:r w:rsidR="000D25FE" w:rsidRPr="000D25FE">
        <w:rPr>
          <w:rFonts w:ascii="Times New Roman" w:hAnsi="Times New Roman"/>
          <w:sz w:val="24"/>
          <w:szCs w:val="24"/>
        </w:rPr>
        <w:t xml:space="preserve">одобранные </w:t>
      </w:r>
      <w:r w:rsidR="00D541C4">
        <w:rPr>
          <w:rFonts w:ascii="Times New Roman" w:hAnsi="Times New Roman"/>
          <w:sz w:val="24"/>
          <w:szCs w:val="24"/>
        </w:rPr>
        <w:t xml:space="preserve">нами </w:t>
      </w:r>
      <w:r w:rsidR="000D25FE" w:rsidRPr="000D25FE">
        <w:rPr>
          <w:rFonts w:ascii="Times New Roman" w:hAnsi="Times New Roman"/>
          <w:sz w:val="24"/>
          <w:szCs w:val="24"/>
        </w:rPr>
        <w:t>примеры взяты из</w:t>
      </w:r>
      <w:r w:rsidR="00D541C4">
        <w:rPr>
          <w:rFonts w:ascii="Times New Roman" w:hAnsi="Times New Roman"/>
          <w:sz w:val="24"/>
          <w:szCs w:val="24"/>
        </w:rPr>
        <w:t xml:space="preserve"> материалов шведских СМИ:</w:t>
      </w:r>
      <w:r w:rsidR="000D25FE" w:rsidRPr="000D25FE">
        <w:rPr>
          <w:rFonts w:ascii="Times New Roman" w:hAnsi="Times New Roman"/>
          <w:sz w:val="24"/>
          <w:szCs w:val="24"/>
        </w:rPr>
        <w:t xml:space="preserve"> </w:t>
      </w:r>
      <w:r w:rsidR="000D25FE" w:rsidRPr="000D25FE">
        <w:rPr>
          <w:rFonts w:ascii="Times New Roman" w:hAnsi="Times New Roman"/>
          <w:sz w:val="24"/>
          <w:szCs w:val="24"/>
          <w:lang w:val="en-US"/>
        </w:rPr>
        <w:t>SVT</w:t>
      </w:r>
      <w:r w:rsidR="000D25FE" w:rsidRPr="000D25FE">
        <w:rPr>
          <w:rFonts w:ascii="Times New Roman" w:hAnsi="Times New Roman"/>
          <w:sz w:val="24"/>
          <w:szCs w:val="24"/>
        </w:rPr>
        <w:t xml:space="preserve"> </w:t>
      </w:r>
      <w:r w:rsidR="000D25FE" w:rsidRPr="000D25FE">
        <w:rPr>
          <w:rFonts w:ascii="Times New Roman" w:hAnsi="Times New Roman"/>
          <w:sz w:val="24"/>
          <w:szCs w:val="24"/>
          <w:lang w:val="en-US"/>
        </w:rPr>
        <w:t>Nyheter</w:t>
      </w:r>
      <w:r w:rsidR="000D25FE" w:rsidRPr="000D25FE">
        <w:rPr>
          <w:rFonts w:ascii="Times New Roman" w:hAnsi="Times New Roman"/>
          <w:sz w:val="24"/>
          <w:szCs w:val="24"/>
        </w:rPr>
        <w:t xml:space="preserve">, </w:t>
      </w:r>
      <w:r w:rsidR="000D25FE" w:rsidRPr="000D25FE">
        <w:rPr>
          <w:rFonts w:ascii="Times New Roman" w:hAnsi="Times New Roman"/>
          <w:sz w:val="24"/>
          <w:szCs w:val="24"/>
          <w:lang w:val="en-US"/>
        </w:rPr>
        <w:t>Aftonbladet</w:t>
      </w:r>
      <w:r w:rsidR="000D25FE" w:rsidRPr="000D25FE">
        <w:rPr>
          <w:rFonts w:ascii="Times New Roman" w:hAnsi="Times New Roman"/>
          <w:sz w:val="24"/>
          <w:szCs w:val="24"/>
        </w:rPr>
        <w:t xml:space="preserve">, </w:t>
      </w:r>
      <w:r w:rsidR="000D25FE" w:rsidRPr="000D25FE">
        <w:rPr>
          <w:rFonts w:ascii="Times New Roman" w:hAnsi="Times New Roman"/>
          <w:sz w:val="24"/>
          <w:szCs w:val="24"/>
          <w:lang w:val="en-US"/>
        </w:rPr>
        <w:t>Dagens</w:t>
      </w:r>
      <w:r w:rsidR="000D25FE" w:rsidRPr="000D25FE">
        <w:rPr>
          <w:rFonts w:ascii="Times New Roman" w:hAnsi="Times New Roman"/>
          <w:sz w:val="24"/>
          <w:szCs w:val="24"/>
        </w:rPr>
        <w:t xml:space="preserve"> </w:t>
      </w:r>
      <w:r w:rsidR="000D25FE" w:rsidRPr="000D25FE">
        <w:rPr>
          <w:rFonts w:ascii="Times New Roman" w:hAnsi="Times New Roman"/>
          <w:sz w:val="24"/>
          <w:szCs w:val="24"/>
          <w:lang w:val="en-US"/>
        </w:rPr>
        <w:t>PS</w:t>
      </w:r>
      <w:r w:rsidR="000D25FE" w:rsidRPr="000D25FE">
        <w:rPr>
          <w:rFonts w:ascii="Times New Roman" w:hAnsi="Times New Roman"/>
          <w:sz w:val="24"/>
          <w:szCs w:val="24"/>
        </w:rPr>
        <w:t xml:space="preserve"> и </w:t>
      </w:r>
      <w:r w:rsidR="000D25FE" w:rsidRPr="000D25FE">
        <w:rPr>
          <w:rFonts w:ascii="Times New Roman" w:hAnsi="Times New Roman"/>
          <w:sz w:val="24"/>
          <w:szCs w:val="24"/>
          <w:lang w:val="sv-SE"/>
        </w:rPr>
        <w:t>Hallands</w:t>
      </w:r>
      <w:r w:rsidR="000D25FE" w:rsidRPr="000D25FE">
        <w:rPr>
          <w:rFonts w:ascii="Times New Roman" w:hAnsi="Times New Roman"/>
          <w:sz w:val="24"/>
          <w:szCs w:val="24"/>
        </w:rPr>
        <w:t xml:space="preserve"> </w:t>
      </w:r>
      <w:r w:rsidR="000D25FE" w:rsidRPr="000D25FE">
        <w:rPr>
          <w:rFonts w:ascii="Times New Roman" w:hAnsi="Times New Roman"/>
          <w:sz w:val="24"/>
          <w:szCs w:val="24"/>
          <w:lang w:val="sv-SE"/>
        </w:rPr>
        <w:t>Nyheter</w:t>
      </w:r>
      <w:r w:rsidR="000D25FE" w:rsidRPr="000D25FE">
        <w:rPr>
          <w:rFonts w:ascii="Times New Roman" w:hAnsi="Times New Roman"/>
          <w:sz w:val="24"/>
          <w:szCs w:val="24"/>
        </w:rPr>
        <w:t xml:space="preserve">.  </w:t>
      </w:r>
    </w:p>
    <w:p w14:paraId="0CD34FDF" w14:textId="77777777" w:rsidR="00B25F5E" w:rsidRPr="00B25F5E" w:rsidRDefault="00B25F5E" w:rsidP="00D54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 xml:space="preserve">Hon tycker att vi borde prata mer om </w:t>
      </w:r>
      <w:r w:rsidRPr="00B25F5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v-SE"/>
        </w:rPr>
        <w:t>väntesorg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>.</w:t>
      </w:r>
    </w:p>
    <w:p w14:paraId="21ABD6F6" w14:textId="55725658" w:rsidR="00B25F5E" w:rsidRPr="00B25F5E" w:rsidRDefault="00B25F5E" w:rsidP="00D541C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 xml:space="preserve">– </w:t>
      </w:r>
      <w:r w:rsidRPr="00B25F5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v-SE"/>
        </w:rPr>
        <w:t>Väntesorgen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 xml:space="preserve"> är outhärdlig. Det har varit som ett molande molntäckte av sorg som legat över hela tillvaron, säger hon </w:t>
      </w:r>
      <w:r w:rsidRPr="00B25F5E">
        <w:rPr>
          <w:rFonts w:ascii="Times New Roman" w:hAnsi="Times New Roman"/>
          <w:sz w:val="24"/>
          <w:szCs w:val="24"/>
          <w:lang w:val="sv-SE"/>
        </w:rPr>
        <w:t>[</w:t>
      </w:r>
      <w:r w:rsidR="000E6C8B" w:rsidRPr="000E6C8B">
        <w:rPr>
          <w:rFonts w:ascii="Times New Roman" w:hAnsi="Times New Roman"/>
          <w:sz w:val="24"/>
          <w:szCs w:val="24"/>
          <w:lang w:val="sv-SE"/>
        </w:rPr>
        <w:t>4</w:t>
      </w:r>
      <w:r w:rsidRPr="00B25F5E">
        <w:rPr>
          <w:rFonts w:ascii="Times New Roman" w:hAnsi="Times New Roman"/>
          <w:sz w:val="24"/>
          <w:szCs w:val="24"/>
          <w:lang w:val="sv-SE"/>
        </w:rPr>
        <w:t>]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>.</w:t>
      </w:r>
    </w:p>
    <w:p w14:paraId="586250A4" w14:textId="77777777" w:rsidR="00B25F5E" w:rsidRPr="00B25F5E" w:rsidRDefault="00B25F5E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F5E">
        <w:rPr>
          <w:rFonts w:ascii="Times New Roman" w:hAnsi="Times New Roman"/>
          <w:sz w:val="24"/>
          <w:szCs w:val="24"/>
        </w:rPr>
        <w:t xml:space="preserve">Она считает, что мы должны больше говорить об осознании скорой утраты. </w:t>
      </w:r>
    </w:p>
    <w:p w14:paraId="4EBC8309" w14:textId="6696E33D" w:rsidR="00B25F5E" w:rsidRPr="00B25F5E" w:rsidRDefault="00B25F5E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F5E">
        <w:rPr>
          <w:rFonts w:ascii="Times New Roman" w:hAnsi="Times New Roman"/>
          <w:sz w:val="24"/>
          <w:szCs w:val="24"/>
        </w:rPr>
        <w:t>- Осознание скорой утраты невыносимо. Оно темными тучами нависло над всей моей жизнью, —</w:t>
      </w:r>
      <w:r w:rsidR="00D73D3C">
        <w:rPr>
          <w:rFonts w:ascii="Times New Roman" w:hAnsi="Times New Roman"/>
          <w:sz w:val="24"/>
          <w:szCs w:val="24"/>
        </w:rPr>
        <w:t xml:space="preserve"> </w:t>
      </w:r>
      <w:r w:rsidRPr="00B25F5E">
        <w:rPr>
          <w:rFonts w:ascii="Times New Roman" w:hAnsi="Times New Roman"/>
          <w:sz w:val="24"/>
          <w:szCs w:val="24"/>
        </w:rPr>
        <w:t xml:space="preserve">говорит она. </w:t>
      </w:r>
    </w:p>
    <w:p w14:paraId="09DAE30A" w14:textId="6052069C" w:rsidR="00B25F5E" w:rsidRPr="00B25F5E" w:rsidRDefault="00B25F5E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F5E">
        <w:rPr>
          <w:rFonts w:ascii="Times New Roman" w:hAnsi="Times New Roman"/>
          <w:sz w:val="24"/>
          <w:szCs w:val="24"/>
        </w:rPr>
        <w:t xml:space="preserve">В вышеприведенном примере интерес для нас представляет неологизм 2022 года 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>v</w:t>
      </w:r>
      <w:r w:rsidRPr="00B25F5E">
        <w:rPr>
          <w:rFonts w:ascii="Times New Roman" w:hAnsi="Times New Roman"/>
          <w:i/>
          <w:iCs/>
          <w:sz w:val="24"/>
          <w:szCs w:val="24"/>
        </w:rPr>
        <w:t>ä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>ntesorg</w:t>
      </w:r>
      <w:r w:rsidRPr="00B25F5E">
        <w:rPr>
          <w:rFonts w:ascii="Times New Roman" w:hAnsi="Times New Roman"/>
          <w:sz w:val="24"/>
          <w:szCs w:val="24"/>
        </w:rPr>
        <w:t xml:space="preserve">, означающий боль, которую человек испытывает от осознания того, что его близкий скоро уйдет из жизни из-за смертельного заболевания. Очевидно, что передать лакуну при помощи сложносочиненного предложения не представляется возможным, так как это нарушит лаконичность высказывания, поэтому мы предложили элиминировать лакуну при помощи словосочетания «осознание скорой утраты». </w:t>
      </w:r>
    </w:p>
    <w:p w14:paraId="08A2D4CA" w14:textId="1E676329" w:rsidR="00B25F5E" w:rsidRPr="00B25F5E" w:rsidRDefault="00B25F5E" w:rsidP="00D541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 xml:space="preserve">Dina pushnotiser kan ge dig ”popcornhjärna”. Forskare varnar nu för att överflödet av digital information kan vara skadligt särskilt för barn och unga </w:t>
      </w:r>
      <w:r w:rsidRPr="00B25F5E">
        <w:rPr>
          <w:rFonts w:ascii="Times New Roman" w:hAnsi="Times New Roman"/>
          <w:sz w:val="24"/>
          <w:szCs w:val="24"/>
          <w:lang w:val="sv-SE"/>
        </w:rPr>
        <w:t>[5]</w:t>
      </w:r>
      <w:r w:rsidRPr="00B25F5E">
        <w:rPr>
          <w:rFonts w:ascii="Times New Roman" w:hAnsi="Times New Roman"/>
          <w:i/>
          <w:iCs/>
          <w:sz w:val="24"/>
          <w:szCs w:val="24"/>
          <w:lang w:val="sv-SE"/>
        </w:rPr>
        <w:t>.</w:t>
      </w:r>
    </w:p>
    <w:p w14:paraId="69C9F13E" w14:textId="77777777" w:rsidR="00B25F5E" w:rsidRPr="00B25F5E" w:rsidRDefault="00B25F5E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F5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25F5E">
        <w:rPr>
          <w:rFonts w:ascii="Times New Roman" w:hAnsi="Times New Roman"/>
          <w:sz w:val="24"/>
          <w:szCs w:val="24"/>
          <w:lang w:val="en-US"/>
        </w:rPr>
        <w:t>P</w:t>
      </w:r>
      <w:r w:rsidRPr="00B25F5E">
        <w:rPr>
          <w:rFonts w:ascii="Times New Roman" w:hAnsi="Times New Roman"/>
          <w:sz w:val="24"/>
          <w:szCs w:val="24"/>
          <w:lang w:val="sv-SE"/>
        </w:rPr>
        <w:t>ush</w:t>
      </w:r>
      <w:r w:rsidRPr="00B25F5E">
        <w:rPr>
          <w:rFonts w:ascii="Times New Roman" w:hAnsi="Times New Roman"/>
          <w:sz w:val="24"/>
          <w:szCs w:val="24"/>
        </w:rPr>
        <w:t>-уведомления могут «засорить» ваш мозг. Исследователи предупреждают, что избыток цифровой информации может быть вреден, особенно для детей и подростков.</w:t>
      </w:r>
    </w:p>
    <w:p w14:paraId="0338C9A5" w14:textId="7E5EB2DC" w:rsidR="00B25F5E" w:rsidRDefault="00D37F14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F14">
        <w:rPr>
          <w:rFonts w:ascii="Times New Roman" w:hAnsi="Times New Roman"/>
          <w:sz w:val="24"/>
          <w:szCs w:val="24"/>
        </w:rPr>
        <w:t>Композит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="00B25F5E" w:rsidRPr="00B25F5E">
        <w:rPr>
          <w:rFonts w:ascii="Times New Roman" w:hAnsi="Times New Roman"/>
          <w:i/>
          <w:iCs/>
          <w:sz w:val="24"/>
          <w:szCs w:val="24"/>
          <w:lang w:val="sv-SE"/>
        </w:rPr>
        <w:t>opcornhj</w:t>
      </w:r>
      <w:r w:rsidR="00B25F5E" w:rsidRPr="00B25F5E">
        <w:rPr>
          <w:rFonts w:ascii="Times New Roman" w:hAnsi="Times New Roman"/>
          <w:i/>
          <w:iCs/>
          <w:sz w:val="24"/>
          <w:szCs w:val="24"/>
        </w:rPr>
        <w:t>ä</w:t>
      </w:r>
      <w:r w:rsidR="00B25F5E" w:rsidRPr="00B25F5E">
        <w:rPr>
          <w:rFonts w:ascii="Times New Roman" w:hAnsi="Times New Roman"/>
          <w:i/>
          <w:iCs/>
          <w:sz w:val="24"/>
          <w:szCs w:val="24"/>
          <w:lang w:val="sv-SE"/>
        </w:rPr>
        <w:t>rna</w:t>
      </w:r>
      <w:r w:rsidR="00B25F5E" w:rsidRPr="00B25F5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описывает </w:t>
      </w:r>
      <w:r w:rsidR="00B25F5E" w:rsidRPr="00B25F5E">
        <w:rPr>
          <w:rFonts w:ascii="Times New Roman" w:hAnsi="Times New Roman"/>
          <w:sz w:val="24"/>
          <w:szCs w:val="24"/>
        </w:rPr>
        <w:t>ситуаци</w:t>
      </w:r>
      <w:r>
        <w:rPr>
          <w:rFonts w:ascii="Times New Roman" w:hAnsi="Times New Roman"/>
          <w:sz w:val="24"/>
          <w:szCs w:val="24"/>
        </w:rPr>
        <w:t>ю</w:t>
      </w:r>
      <w:r w:rsidR="00B25F5E" w:rsidRPr="00B25F5E">
        <w:rPr>
          <w:rFonts w:ascii="Times New Roman" w:hAnsi="Times New Roman"/>
          <w:sz w:val="24"/>
          <w:szCs w:val="24"/>
        </w:rPr>
        <w:t xml:space="preserve">, при которой мозг подвергается воздействию одновременно нескольких сенсорных сигналов при использовании мобильного телефона. При элиминации лакуны мы использовали прием создания </w:t>
      </w:r>
      <w:r w:rsidR="00B25F5E" w:rsidRPr="00B25F5E">
        <w:rPr>
          <w:rFonts w:ascii="Times New Roman" w:hAnsi="Times New Roman"/>
          <w:sz w:val="24"/>
          <w:szCs w:val="24"/>
        </w:rPr>
        <w:lastRenderedPageBreak/>
        <w:t xml:space="preserve">аналога и грамматическую замену, что позволило не только передать смысл высказывания, но и сохранить </w:t>
      </w:r>
      <w:r w:rsidR="006004B2">
        <w:rPr>
          <w:rFonts w:ascii="Times New Roman" w:hAnsi="Times New Roman"/>
          <w:sz w:val="24"/>
          <w:szCs w:val="24"/>
        </w:rPr>
        <w:t xml:space="preserve">его </w:t>
      </w:r>
      <w:r w:rsidR="00B25F5E" w:rsidRPr="00B25F5E">
        <w:rPr>
          <w:rFonts w:ascii="Times New Roman" w:hAnsi="Times New Roman"/>
          <w:sz w:val="24"/>
          <w:szCs w:val="24"/>
        </w:rPr>
        <w:t xml:space="preserve">метафорическую окраску. </w:t>
      </w:r>
    </w:p>
    <w:p w14:paraId="50A4FF09" w14:textId="7F53D2AA" w:rsidR="004B7D00" w:rsidRDefault="004B7D00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4B7D00">
        <w:rPr>
          <w:rFonts w:ascii="Times New Roman" w:hAnsi="Times New Roman"/>
          <w:sz w:val="24"/>
          <w:szCs w:val="24"/>
        </w:rPr>
        <w:t>в рассмотренных нами примерах мы прибегали к таким переводческим трансформациям, как создание соответствий-аналогов, нейтрализация (деметафоризация), модуляция и описательный перевод. Отметим, что описательный перевод способствует преодолению лингвоэтнического барьера и помогает достичь понимания текста, содержащего лакуну, реципиентом, но нарушает лаконичность текста, именно поэтому его лучше использовать только в тех случаях, когда другие виды переводческих трансформаций невозможны.</w:t>
      </w:r>
    </w:p>
    <w:p w14:paraId="6DE411E7" w14:textId="77777777" w:rsidR="00D541C4" w:rsidRDefault="00D541C4" w:rsidP="00D54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96013" w14:textId="380656CA" w:rsidR="004B7D00" w:rsidRDefault="000E6C8B" w:rsidP="00F773AC">
      <w:pPr>
        <w:spacing w:line="24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E6C8B">
        <w:rPr>
          <w:rFonts w:ascii="Times New Roman" w:hAnsi="Times New Roman"/>
          <w:b/>
          <w:bCs/>
          <w:sz w:val="24"/>
          <w:szCs w:val="24"/>
        </w:rPr>
        <w:t xml:space="preserve">Литература </w:t>
      </w:r>
      <w:r w:rsidR="003351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7B7AA9" w14:textId="2C8AA768" w:rsidR="000E6C8B" w:rsidRPr="0080597B" w:rsidRDefault="000E6C8B" w:rsidP="00F773AC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7B">
        <w:rPr>
          <w:rFonts w:ascii="Times New Roman" w:hAnsi="Times New Roman"/>
          <w:sz w:val="24"/>
          <w:szCs w:val="24"/>
        </w:rPr>
        <w:t>Абдурахзакова Ш.Р. Межъязыковые лакуны и способы их перевода // Молодой ученый. Филология и лингвистика в современном обществе: материалы междунар. заоч. науч. конф. М.: 2012</w:t>
      </w:r>
      <w:r w:rsidR="00D37F14">
        <w:rPr>
          <w:rFonts w:ascii="Times New Roman" w:hAnsi="Times New Roman"/>
          <w:sz w:val="24"/>
          <w:szCs w:val="24"/>
        </w:rPr>
        <w:t>.</w:t>
      </w:r>
    </w:p>
    <w:p w14:paraId="401D9FC1" w14:textId="1A29CDCF" w:rsidR="000E6C8B" w:rsidRPr="0080597B" w:rsidRDefault="000E6C8B" w:rsidP="00F773AC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7B">
        <w:rPr>
          <w:rFonts w:ascii="Times New Roman" w:hAnsi="Times New Roman"/>
          <w:sz w:val="24"/>
          <w:szCs w:val="24"/>
        </w:rPr>
        <w:t>Бархударов Л.С.  Язык и перевод (вопросы общей и частной теории перевода) М.: 1975</w:t>
      </w:r>
      <w:r w:rsidR="00D37F14">
        <w:rPr>
          <w:rFonts w:ascii="Times New Roman" w:hAnsi="Times New Roman"/>
          <w:sz w:val="24"/>
          <w:szCs w:val="24"/>
        </w:rPr>
        <w:t>.</w:t>
      </w:r>
    </w:p>
    <w:p w14:paraId="371FE0CE" w14:textId="50C947A1" w:rsidR="000E6C8B" w:rsidRPr="0080597B" w:rsidRDefault="000E6C8B" w:rsidP="00F773AC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7B">
        <w:rPr>
          <w:rFonts w:ascii="Times New Roman" w:hAnsi="Times New Roman"/>
          <w:sz w:val="24"/>
          <w:szCs w:val="24"/>
        </w:rPr>
        <w:t>Миловидова М.С. Семшова М. Н. Пути преодоления системно-языковых барьеров при переводе немецких композитов на русский язык // Феномен границы в языке и литературе. Самара: 2009. С. 267 – 276</w:t>
      </w:r>
      <w:r w:rsidR="00D37F14">
        <w:rPr>
          <w:rFonts w:ascii="Times New Roman" w:hAnsi="Times New Roman"/>
          <w:sz w:val="24"/>
          <w:szCs w:val="24"/>
        </w:rPr>
        <w:t>.</w:t>
      </w:r>
    </w:p>
    <w:p w14:paraId="69C056A5" w14:textId="77777777" w:rsidR="000E6C8B" w:rsidRPr="0080597B" w:rsidRDefault="000E6C8B" w:rsidP="00F773AC">
      <w:pPr>
        <w:pStyle w:val="a3"/>
        <w:numPr>
          <w:ilvl w:val="0"/>
          <w:numId w:val="3"/>
        </w:numPr>
        <w:spacing w:after="60" w:line="240" w:lineRule="auto"/>
        <w:ind w:firstLine="709"/>
        <w:outlineLvl w:val="0"/>
        <w:rPr>
          <w:rFonts w:ascii="Times New Roman" w:eastAsia="Times New Roman" w:hAnsi="Times New Roman"/>
          <w:kern w:val="36"/>
          <w:sz w:val="24"/>
          <w:szCs w:val="24"/>
          <w:lang w:val="sv-SE" w:eastAsia="ru-RU"/>
        </w:rPr>
      </w:pPr>
      <w:r w:rsidRPr="0080597B">
        <w:rPr>
          <w:rFonts w:ascii="Times New Roman" w:eastAsia="Times New Roman" w:hAnsi="Times New Roman"/>
          <w:kern w:val="36"/>
          <w:sz w:val="24"/>
          <w:szCs w:val="24"/>
          <w:lang w:val="sv-SE" w:eastAsia="ru-RU"/>
        </w:rPr>
        <w:t xml:space="preserve">Linnéa Sundling i Umeå förlorade sin pappa i Alzheimers sjukdom: ”Väntesorgen är outhärdlig”: </w:t>
      </w:r>
      <w:hyperlink r:id="rId5" w:history="1">
        <w:r w:rsidRPr="0080597B">
          <w:rPr>
            <w:rStyle w:val="a4"/>
            <w:rFonts w:ascii="Times New Roman" w:eastAsia="Times New Roman" w:hAnsi="Times New Roman"/>
            <w:kern w:val="36"/>
            <w:sz w:val="24"/>
            <w:szCs w:val="24"/>
            <w:lang w:val="sv-SE" w:eastAsia="ru-RU"/>
          </w:rPr>
          <w:t>https://www.svt.se/nyheter/lokalt/vasterbotten/linnea-sundling-forlorade-sin-pappa-i-alzheimers-sjukdom</w:t>
        </w:r>
      </w:hyperlink>
    </w:p>
    <w:p w14:paraId="18D60FD3" w14:textId="77777777" w:rsidR="0080597B" w:rsidRPr="0080597B" w:rsidRDefault="0080597B" w:rsidP="00F773AC">
      <w:pPr>
        <w:pStyle w:val="a3"/>
        <w:numPr>
          <w:ilvl w:val="0"/>
          <w:numId w:val="3"/>
        </w:numPr>
        <w:spacing w:after="60" w:line="240" w:lineRule="auto"/>
        <w:ind w:firstLine="709"/>
        <w:outlineLvl w:val="0"/>
        <w:rPr>
          <w:rFonts w:ascii="Times New Roman" w:eastAsia="Times New Roman" w:hAnsi="Times New Roman"/>
          <w:kern w:val="36"/>
          <w:sz w:val="24"/>
          <w:szCs w:val="24"/>
          <w:lang w:val="sv-SE" w:eastAsia="ru-RU"/>
        </w:rPr>
      </w:pPr>
      <w:r w:rsidRPr="0080597B">
        <w:rPr>
          <w:rFonts w:ascii="Times New Roman" w:eastAsia="Times New Roman" w:hAnsi="Times New Roman"/>
          <w:kern w:val="36"/>
          <w:sz w:val="24"/>
          <w:szCs w:val="24"/>
          <w:lang w:val="sv-SE" w:eastAsia="ru-RU"/>
        </w:rPr>
        <w:t xml:space="preserve">Forskare oense om mobilers påverkan på barn: </w:t>
      </w:r>
      <w:hyperlink r:id="rId6" w:history="1">
        <w:r w:rsidRPr="0080597B">
          <w:rPr>
            <w:rStyle w:val="a4"/>
            <w:rFonts w:ascii="Times New Roman" w:eastAsia="Times New Roman" w:hAnsi="Times New Roman"/>
            <w:kern w:val="36"/>
            <w:sz w:val="24"/>
            <w:szCs w:val="24"/>
            <w:lang w:val="sv-SE" w:eastAsia="ru-RU"/>
          </w:rPr>
          <w:t>https://www.aftonbladet.se/nyheter/a/a25bB5/forskare-oense-om-mobilers-paverkan-pa-barn</w:t>
        </w:r>
      </w:hyperlink>
    </w:p>
    <w:p w14:paraId="49E37C2F" w14:textId="77777777" w:rsidR="000E6C8B" w:rsidRPr="000E6C8B" w:rsidRDefault="000E6C8B" w:rsidP="00F773AC">
      <w:pPr>
        <w:pStyle w:val="a3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sv-SE"/>
        </w:rPr>
      </w:pPr>
    </w:p>
    <w:p w14:paraId="79134CF0" w14:textId="77777777" w:rsidR="000E6C8B" w:rsidRPr="000E6C8B" w:rsidRDefault="000E6C8B" w:rsidP="00F773AC">
      <w:pPr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67FDA4A9" w14:textId="77777777" w:rsidR="00B25F5E" w:rsidRPr="000E6C8B" w:rsidRDefault="00B25F5E" w:rsidP="00F773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789FB241" w14:textId="77777777" w:rsidR="00B25F5E" w:rsidRPr="00D37F14" w:rsidRDefault="00B25F5E" w:rsidP="00F773AC">
      <w:pPr>
        <w:ind w:firstLine="709"/>
        <w:jc w:val="center"/>
        <w:rPr>
          <w:rFonts w:ascii="Times New Roman" w:hAnsi="Times New Roman"/>
          <w:sz w:val="28"/>
          <w:szCs w:val="28"/>
          <w:lang w:val="sv-SE"/>
        </w:rPr>
      </w:pPr>
    </w:p>
    <w:sectPr w:rsidR="00B25F5E" w:rsidRPr="00D37F14" w:rsidSect="005C77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4E9"/>
    <w:multiLevelType w:val="hybridMultilevel"/>
    <w:tmpl w:val="0C522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C7D"/>
    <w:multiLevelType w:val="hybridMultilevel"/>
    <w:tmpl w:val="786E7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024F"/>
    <w:multiLevelType w:val="hybridMultilevel"/>
    <w:tmpl w:val="9D2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5E"/>
    <w:rsid w:val="000D25FE"/>
    <w:rsid w:val="000E6C8B"/>
    <w:rsid w:val="00113E8F"/>
    <w:rsid w:val="00254CF1"/>
    <w:rsid w:val="00297D0C"/>
    <w:rsid w:val="00335112"/>
    <w:rsid w:val="004B7D00"/>
    <w:rsid w:val="005C77D5"/>
    <w:rsid w:val="006004B2"/>
    <w:rsid w:val="007967F9"/>
    <w:rsid w:val="0080597B"/>
    <w:rsid w:val="00826D40"/>
    <w:rsid w:val="00871912"/>
    <w:rsid w:val="0091454A"/>
    <w:rsid w:val="00977880"/>
    <w:rsid w:val="00986FD6"/>
    <w:rsid w:val="009E298A"/>
    <w:rsid w:val="009F5310"/>
    <w:rsid w:val="00AA078E"/>
    <w:rsid w:val="00AE095A"/>
    <w:rsid w:val="00B25F5E"/>
    <w:rsid w:val="00C31240"/>
    <w:rsid w:val="00CC19A1"/>
    <w:rsid w:val="00D34E57"/>
    <w:rsid w:val="00D37F14"/>
    <w:rsid w:val="00D541C4"/>
    <w:rsid w:val="00D73D3C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48CB"/>
  <w15:chartTrackingRefBased/>
  <w15:docId w15:val="{D5C5FBFD-29DE-4895-8032-32A4F10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5E"/>
    <w:pPr>
      <w:ind w:left="720"/>
      <w:contextualSpacing/>
    </w:pPr>
  </w:style>
  <w:style w:type="character" w:styleId="a4">
    <w:name w:val="Hyperlink"/>
    <w:uiPriority w:val="99"/>
    <w:unhideWhenUsed/>
    <w:rsid w:val="000E6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onbladet.se/nyheter/a/a25bB5/forskare-oense-om-mobilers-paverkan-pa-barn" TargetMode="External"/><Relationship Id="rId5" Type="http://schemas.openxmlformats.org/officeDocument/2006/relationships/hyperlink" Target="https://www.svt.se/nyheter/lokalt/vasterbotten/linnea-sundling-forlorade-sin-pappa-i-alzheimers-sjuk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4263</Characters>
  <Application>Microsoft Office Word</Application>
  <DocSecurity>0</DocSecurity>
  <Lines>83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Links>
    <vt:vector size="12" baseType="variant">
      <vt:variant>
        <vt:i4>7536752</vt:i4>
      </vt:variant>
      <vt:variant>
        <vt:i4>3</vt:i4>
      </vt:variant>
      <vt:variant>
        <vt:i4>0</vt:i4>
      </vt:variant>
      <vt:variant>
        <vt:i4>5</vt:i4>
      </vt:variant>
      <vt:variant>
        <vt:lpwstr>https://www.aftonbladet.se/nyheter/a/a25bB5/forskare-oense-om-mobilers-paverkan-pa-barn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https://www.svt.se/nyheter/lokalt/vasterbotten/linnea-sundling-forlorade-sin-pappa-i-alzheimers-sjukdom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2366</dc:creator>
  <cp:keywords/>
  <dc:description/>
  <cp:lastModifiedBy>2366</cp:lastModifiedBy>
  <cp:revision>4</cp:revision>
  <dcterms:created xsi:type="dcterms:W3CDTF">2024-02-15T14:30:00Z</dcterms:created>
  <dcterms:modified xsi:type="dcterms:W3CDTF">2024-02-15T14:37:00Z</dcterms:modified>
</cp:coreProperties>
</file>