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B0DB" w14:textId="4ED62F06" w:rsidR="00D6076C" w:rsidRPr="00D6076C" w:rsidRDefault="00000000" w:rsidP="00D6076C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07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Наследие Катулла в поэзии Григория </w:t>
      </w:r>
      <w:proofErr w:type="spellStart"/>
      <w:r w:rsidRPr="00D6076C">
        <w:rPr>
          <w:rFonts w:ascii="Times New Roman" w:eastAsia="Times New Roman" w:hAnsi="Times New Roman" w:cs="Times New Roman"/>
          <w:b/>
          <w:bCs/>
          <w:sz w:val="24"/>
          <w:szCs w:val="24"/>
        </w:rPr>
        <w:t>Дашевского</w:t>
      </w:r>
      <w:proofErr w:type="spellEnd"/>
    </w:p>
    <w:p w14:paraId="763B06A3" w14:textId="7D2AA23B" w:rsidR="00D6076C" w:rsidRPr="00D6076C" w:rsidRDefault="00D6076C" w:rsidP="00D607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Илькаева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Асия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Тагировна</w:t>
      </w:r>
      <w:proofErr w:type="spellEnd"/>
    </w:p>
    <w:p w14:paraId="0D05BDBC" w14:textId="4F727D3A" w:rsidR="00D6076C" w:rsidRPr="00D6076C" w:rsidRDefault="00D6076C" w:rsidP="00D607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6076C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304C9B0E" w14:textId="77777777" w:rsidR="00D6076C" w:rsidRPr="00D6076C" w:rsidRDefault="00D6076C" w:rsidP="00D607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6076C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D6076C">
        <w:rPr>
          <w:rFonts w:ascii="Times New Roman" w:hAnsi="Times New Roman" w:cs="Times New Roman"/>
          <w:i/>
          <w:iCs/>
          <w:sz w:val="24"/>
          <w:szCs w:val="24"/>
        </w:rPr>
        <w:t>М.В.Ломоносова</w:t>
      </w:r>
      <w:proofErr w:type="spellEnd"/>
      <w:r w:rsidRPr="00D6076C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05E5460D" w14:textId="77777777" w:rsidR="00D6076C" w:rsidRPr="00D6076C" w:rsidRDefault="00D6076C" w:rsidP="00D607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6076C">
        <w:rPr>
          <w:rFonts w:ascii="Times New Roman" w:hAnsi="Times New Roman" w:cs="Times New Roman"/>
          <w:i/>
          <w:iCs/>
          <w:sz w:val="24"/>
          <w:szCs w:val="24"/>
        </w:rPr>
        <w:t>филологический факультет, Москва, Россия</w:t>
      </w:r>
    </w:p>
    <w:p w14:paraId="47BD0BA8" w14:textId="22B972F6" w:rsidR="00D6076C" w:rsidRPr="00D6076C" w:rsidRDefault="00D6076C" w:rsidP="00D607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6076C">
        <w:rPr>
          <w:rFonts w:ascii="Times New Roman" w:hAnsi="Times New Roman" w:cs="Times New Roman"/>
          <w:i/>
          <w:iCs/>
          <w:sz w:val="24"/>
          <w:szCs w:val="24"/>
        </w:rPr>
        <w:t>E–</w:t>
      </w:r>
      <w:proofErr w:type="spellStart"/>
      <w:r w:rsidRPr="00D6076C">
        <w:rPr>
          <w:rFonts w:ascii="Times New Roman" w:hAnsi="Times New Roman" w:cs="Times New Roman"/>
          <w:i/>
          <w:iCs/>
          <w:sz w:val="24"/>
          <w:szCs w:val="24"/>
        </w:rPr>
        <w:t>mail</w:t>
      </w:r>
      <w:proofErr w:type="spellEnd"/>
      <w:r w:rsidRPr="00D6076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DC7A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DC7AFE" w:rsidRPr="00DC7AFE">
        <w:rPr>
          <w:rFonts w:ascii="Times New Roman" w:hAnsi="Times New Roman" w:cs="Times New Roman"/>
          <w:i/>
          <w:iCs/>
          <w:sz w:val="24"/>
          <w:szCs w:val="24"/>
        </w:rPr>
        <w:t>ilkaeva.asiya@mail.ru</w:t>
      </w:r>
    </w:p>
    <w:p w14:paraId="00000003" w14:textId="4B6DE315" w:rsidR="00AB558F" w:rsidRPr="00D6076C" w:rsidRDefault="00000000" w:rsidP="00D607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Григорий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Дашевский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один из немногих представителей современной русской поэзии, который не принадлежал к каким-либо литературным объединениям, диктующим определенные установки творчества для входящих в них поэтов. Поэзия Григория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Дашевского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выходила за рамки постмодернистской поэзии, которая в большинстве своем тяготела к аллюзиям и реминисценциям. Сам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Дашевский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говорил о том, что традиция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цитатности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</w:rPr>
        <w:t>, традиция ссылок на культурный багаж устарела</w:t>
      </w:r>
      <w:r w:rsidR="00D6076C">
        <w:rPr>
          <w:rFonts w:ascii="Times New Roman" w:eastAsia="Times New Roman" w:hAnsi="Times New Roman" w:cs="Times New Roman"/>
          <w:sz w:val="24"/>
          <w:szCs w:val="24"/>
          <w:lang w:val="ru-RU"/>
        </w:rPr>
        <w:t>, что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начинается новый этап, когда поэт ищет новые возможности языка для вечных тем. Нет деления на тех, кто знает и может прочитывать отсылки к классике, и тех, кто пришел в литературу без этого багажа. Но не все произведения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Дашевского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заданной установке. Будучи филологом-классиком по образованию,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Дашевский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написал немало стихотворений на античные сюжеты и также активно переводил произведения античных авторов - Катулла,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Проперция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, Горация. Однако переводы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Дашевского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не совсем укладывались в рамки классического художественного перевода. О своем переводе элегии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Проперция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6076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IV, 7) </w:t>
      </w:r>
      <w:r w:rsidR="00AD4EF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  <w:highlight w:val="white"/>
        </w:rPr>
        <w:t>Sunt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  <w:highlight w:val="white"/>
        </w:rPr>
        <w:t>aliquid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  <w:highlight w:val="white"/>
        </w:rPr>
        <w:t>manes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  <w:highlight w:val="white"/>
        </w:rPr>
        <w:t>…</w:t>
      </w:r>
      <w:r w:rsidR="00AD4EF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  <w:r w:rsidRPr="00D6076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  <w:highlight w:val="white"/>
        </w:rPr>
        <w:t>Дашевский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писал:</w:t>
      </w:r>
      <w:r w:rsidRPr="00D6076C">
        <w:rPr>
          <w:rFonts w:ascii="Times New Roman" w:eastAsia="Times New Roman" w:hAnsi="Times New Roman" w:cs="Times New Roman"/>
          <w:color w:val="242F33"/>
          <w:sz w:val="24"/>
          <w:szCs w:val="24"/>
          <w:highlight w:val="white"/>
        </w:rPr>
        <w:t xml:space="preserve"> </w:t>
      </w:r>
      <w:r w:rsidR="00AD4EF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Это не </w:t>
      </w:r>
      <w:r w:rsidR="00AD4EF2" w:rsidRPr="00AD4EF2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>фантазия на тему</w:t>
      </w:r>
      <w:r w:rsidR="00AD4EF2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>, а практически дословный перевод – другое дело, что у этой дословности свои правила. Но не добавлено ни единого мотива или смысла</w:t>
      </w:r>
      <w:r w:rsidR="00AD4EF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607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6076C" w:rsidRPr="00D6076C">
        <w:rPr>
          <w:rFonts w:ascii="Times New Roman" w:eastAsia="Times New Roman" w:hAnsi="Times New Roman" w:cs="Times New Roman"/>
          <w:sz w:val="24"/>
          <w:szCs w:val="24"/>
          <w:lang w:val="ru-RU"/>
        </w:rPr>
        <w:t>[1</w:t>
      </w:r>
      <w:r w:rsidR="00DC7AFE" w:rsidRPr="00AD4EF2">
        <w:rPr>
          <w:rFonts w:ascii="Times New Roman" w:eastAsia="Times New Roman" w:hAnsi="Times New Roman" w:cs="Times New Roman"/>
          <w:sz w:val="24"/>
          <w:szCs w:val="24"/>
          <w:lang w:val="ru-RU"/>
        </w:rPr>
        <w:t>, 216</w:t>
      </w:r>
      <w:r w:rsidR="00D6076C" w:rsidRPr="00D6076C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4" w14:textId="24F30541" w:rsidR="00AB558F" w:rsidRPr="00D6076C" w:rsidRDefault="00000000" w:rsidP="00D607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Дашевского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EF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>Карантин</w:t>
      </w:r>
      <w:r w:rsidR="00AD4EF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(другое название </w:t>
      </w:r>
      <w:r w:rsidR="00AD4EF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>Тихий час</w:t>
      </w:r>
      <w:r w:rsidR="00AD4EF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6076C" w:rsidRPr="000D3D0F">
        <w:rPr>
          <w:rFonts w:ascii="Times New Roman" w:hAnsi="Times New Roman" w:cs="Times New Roman"/>
        </w:rPr>
        <w:t>–</w:t>
      </w:r>
      <w:r w:rsidR="00D6076C" w:rsidRPr="00D6076C">
        <w:rPr>
          <w:rFonts w:ascii="Times New Roman" w:eastAsia="Times New Roman" w:hAnsi="Times New Roman" w:cs="Times New Roman"/>
          <w:sz w:val="24"/>
          <w:szCs w:val="24"/>
        </w:rPr>
        <w:t xml:space="preserve"> это вольное переложение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из Катулла (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Cat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. 51), который в свою очередь переводит с древнегреческого на латынь вторую оду Сапфо. Катулл вводит точное указание абстрактной возлюбленной Сапфо </w:t>
      </w:r>
      <w:r w:rsidR="00D6076C" w:rsidRPr="000D3D0F">
        <w:rPr>
          <w:rFonts w:ascii="Times New Roman" w:hAnsi="Times New Roman" w:cs="Times New Roman"/>
        </w:rPr>
        <w:t>–</w:t>
      </w:r>
      <w:r w:rsidR="00D6076C" w:rsidRPr="00D6076C">
        <w:rPr>
          <w:rFonts w:ascii="Times New Roman" w:eastAsia="Times New Roman" w:hAnsi="Times New Roman" w:cs="Times New Roman"/>
          <w:sz w:val="24"/>
          <w:szCs w:val="24"/>
        </w:rPr>
        <w:t xml:space="preserve"> это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Лесбия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76C" w:rsidRPr="000D3D0F">
        <w:rPr>
          <w:rFonts w:ascii="Times New Roman" w:hAnsi="Times New Roman" w:cs="Times New Roman"/>
        </w:rPr>
        <w:t>–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адресат практически всего корпуса его любовной лирики. В стихотворении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Дашевского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отсутствует любовная коллизия, страх любви. Вместо него </w:t>
      </w:r>
      <w:r w:rsidR="00D6076C" w:rsidRPr="000D3D0F">
        <w:rPr>
          <w:rFonts w:ascii="Times New Roman" w:hAnsi="Times New Roman" w:cs="Times New Roman"/>
        </w:rPr>
        <w:t>–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страх и бесстрашие больного. В этом стихотворении проявляется особенная античная трагичность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Дашевского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</w:rPr>
        <w:t>-поэта. Он воспроизводит смысловую схему стиха, но выходит далеко за ее пределы.</w:t>
      </w:r>
    </w:p>
    <w:p w14:paraId="00000005" w14:textId="0025A6D2" w:rsidR="00AB558F" w:rsidRPr="00D6076C" w:rsidRDefault="00000000" w:rsidP="00D607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Исследователи переводов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Дашевского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, А. Глазова и Е.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Фанайлова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, считали, что </w:t>
      </w:r>
      <w:r w:rsidR="00AD4EF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даже замена темы или антуража в сравнении с иноязычным прообразом в оригинальных стихах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Дашевского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, которые не называются переводами, на самом деле парадоксальна, скорее переводы, чем вариации. Достаточно, например,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сапфической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строфы, чтобы это стихотворение было не вариацией на тему Сапфо и тем более не стилизацией под античность, но переводом из Сапфо </w:t>
      </w:r>
      <w:r w:rsidR="00D6076C" w:rsidRPr="000D3D0F">
        <w:rPr>
          <w:rFonts w:ascii="Times New Roman" w:hAnsi="Times New Roman" w:cs="Times New Roman"/>
        </w:rPr>
        <w:t>–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на другой язык и, соответственно, с помощью других символов и образов</w:t>
      </w:r>
      <w:r w:rsidR="00AD4EF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DC7AFE" w:rsidRPr="00DC7A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[</w:t>
      </w:r>
      <w:r w:rsidR="00DC7AFE">
        <w:rPr>
          <w:rFonts w:ascii="Times New Roman" w:eastAsia="Times New Roman" w:hAnsi="Times New Roman" w:cs="Times New Roman"/>
          <w:sz w:val="24"/>
          <w:szCs w:val="24"/>
          <w:lang w:val="ru-RU"/>
        </w:rPr>
        <w:t>5, 12</w:t>
      </w:r>
      <w:r w:rsidR="00DC7AFE" w:rsidRPr="00DC7AFE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. Именно так А. В. Левченко разобрал стихотворение </w:t>
      </w:r>
      <w:r w:rsidR="00AD4EF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>Карантин</w:t>
      </w:r>
      <w:r w:rsidR="00AD4EF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, написанное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сапфической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строфой: по мнению исследователя, </w:t>
      </w:r>
      <w:r w:rsidR="00AD4EF2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тема стихотворения, невозможность выдержать болезнь и обожествление как необходимость выдержать болезнь, не менее точно передает мысль Сапфо из стихотворения-прообраза, чем переводы из Сапфо, начиная с перевода Катулла. Левченко усмотрел в этом особую технику </w:t>
      </w:r>
      <w:r w:rsidR="00AD4EF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>точного</w:t>
      </w:r>
      <w:r w:rsidR="00AD4EF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слова, которое не записывается как соответствие оригинальному слову в переводе, а ищется в самом процессе перевода, как и Сапфо искала слово для этого обожествления и в конце концов заговорила о своих состояниях. Так и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Дашевский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рефлективно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говорит о состояниях, видя в них именно невозможность найти точное слово для пограничного опыта, видя в этих состояниях не эпизоды любовного чувства, а саму 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lastRenderedPageBreak/>
        <w:t>трудность говорить о страданиях. Иначе говоря, перевод оказывается точен, но именно благодаря рефлексии над возможностями слова</w:t>
      </w:r>
      <w:r w:rsidR="00AD4EF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AD4EF2" w:rsidRPr="00AD4E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D4EF2" w:rsidRPr="00DC7AFE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AD4EF2" w:rsidRPr="00AD4E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2, </w:t>
      </w:r>
      <w:r w:rsidR="00AD4EF2">
        <w:rPr>
          <w:rFonts w:ascii="Times New Roman" w:eastAsia="Times New Roman" w:hAnsi="Times New Roman" w:cs="Times New Roman"/>
          <w:sz w:val="24"/>
          <w:szCs w:val="24"/>
          <w:lang w:val="ru-RU"/>
        </w:rPr>
        <w:t>257</w:t>
      </w:r>
      <w:r w:rsidR="00AD4EF2" w:rsidRPr="00DC7AFE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6" w14:textId="23083BDC" w:rsidR="00AB558F" w:rsidRPr="00D6076C" w:rsidRDefault="00000000" w:rsidP="00D607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В цикле стихотворений </w:t>
      </w:r>
      <w:r w:rsidR="00AD4EF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>Имярек и Зарема</w:t>
      </w:r>
      <w:r w:rsidR="00AD4EF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Дашевский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сам указывает первоисточники </w:t>
      </w:r>
      <w:r w:rsidR="00DC7AFE" w:rsidRPr="000D3D0F">
        <w:rPr>
          <w:rFonts w:ascii="Times New Roman" w:hAnsi="Times New Roman" w:cs="Times New Roman"/>
        </w:rPr>
        <w:t>–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это стихотворения Катулла №5, 8, 85, 58. Вместо Катулла </w:t>
      </w:r>
      <w:r w:rsidR="00D6076C" w:rsidRPr="000D3D0F">
        <w:rPr>
          <w:rFonts w:ascii="Times New Roman" w:hAnsi="Times New Roman" w:cs="Times New Roman"/>
        </w:rPr>
        <w:t>–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обобщенное</w:t>
      </w:r>
      <w:r w:rsidR="00DC7AFE" w:rsidRPr="00DC7AF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лишенное индивидуальности, поэтического </w:t>
      </w:r>
      <w:r w:rsidR="00AD4EF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D4EF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76C" w:rsidRPr="000D3D0F">
        <w:rPr>
          <w:rFonts w:ascii="Times New Roman" w:hAnsi="Times New Roman" w:cs="Times New Roman"/>
        </w:rPr>
        <w:t>–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Имярек, а вместо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Лесбии</w:t>
      </w:r>
      <w:proofErr w:type="spellEnd"/>
      <w:r w:rsidR="00D6076C" w:rsidRPr="00D607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6076C" w:rsidRPr="000D3D0F">
        <w:rPr>
          <w:rFonts w:ascii="Times New Roman" w:hAnsi="Times New Roman" w:cs="Times New Roman"/>
        </w:rPr>
        <w:t>–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Зарема. Внешние реалии у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Дашевского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тоже изменены в соответствии с требованиями современности</w:t>
      </w:r>
      <w:r w:rsidR="00D6076C" w:rsidRPr="00D607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6076C" w:rsidRPr="000D3D0F">
        <w:rPr>
          <w:rFonts w:ascii="Times New Roman" w:hAnsi="Times New Roman" w:cs="Times New Roman"/>
        </w:rPr>
        <w:t>–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тупики и перекрестки у Катулла теперь подъезды и автомобили, а потомки Рема </w:t>
      </w:r>
      <w:r w:rsidR="00D6076C" w:rsidRPr="000D3D0F">
        <w:rPr>
          <w:rFonts w:ascii="Times New Roman" w:hAnsi="Times New Roman" w:cs="Times New Roman"/>
        </w:rPr>
        <w:t>–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жители и гости столицы. </w:t>
      </w:r>
    </w:p>
    <w:p w14:paraId="00000007" w14:textId="62806F97" w:rsidR="00AB558F" w:rsidRPr="00AD4EF2" w:rsidRDefault="00000000" w:rsidP="00D607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Еще одной отсылкой к Катуллу является стихотворение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Дашевского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EF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>Москва-Рига</w:t>
      </w:r>
      <w:r w:rsidR="00AD4EF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, в котором гимн Диане </w:t>
      </w:r>
      <w:r w:rsidR="00D6076C" w:rsidRPr="000D3D0F">
        <w:rPr>
          <w:rFonts w:ascii="Times New Roman" w:hAnsi="Times New Roman" w:cs="Times New Roman"/>
        </w:rPr>
        <w:t>–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в римской мифологии богине растительного и животного мира </w:t>
      </w:r>
      <w:r w:rsidR="00D6076C" w:rsidRPr="000D3D0F">
        <w:rPr>
          <w:rFonts w:ascii="Times New Roman" w:hAnsi="Times New Roman" w:cs="Times New Roman"/>
        </w:rPr>
        <w:t>–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превращается в песню в честь Луны. Считалось, что богиня Дианы является олицетворением Луны. Но тем не менее, у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Дашевского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Луна </w:t>
      </w:r>
      <w:r w:rsidR="00D6076C" w:rsidRPr="000D3D0F">
        <w:rPr>
          <w:rFonts w:ascii="Times New Roman" w:hAnsi="Times New Roman" w:cs="Times New Roman"/>
        </w:rPr>
        <w:t>–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самая настоящая Луна, в ней сложно угадать Диану Катулла. А вот </w:t>
      </w:r>
      <w:r w:rsidR="00AD4EF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>девы и юноши чистые</w:t>
      </w:r>
      <w:r w:rsidR="00AD4EF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Катулла, которые поют гимн Диане, совпадают с мальчиком и девочкой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Дашевского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8" w14:textId="20C7F0A2" w:rsidR="00AB558F" w:rsidRPr="00D6076C" w:rsidRDefault="00000000" w:rsidP="00D607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О феномене переводов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Дашевского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нет единого мнения среди исследователей его творчества: Елена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</w:rPr>
        <w:t>Фанайлова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видела в такой работе «не перевод в традиционном смысле», но «палимпсест: конкурентный текст, созданный уже не соперником, а равным, подобным»</w:t>
      </w:r>
      <w:r w:rsidR="00AD4E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D4EF2" w:rsidRPr="00AD4E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[5, 15] 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а Мария Степанова в </w:t>
      </w:r>
      <w:r w:rsidR="00AD4EF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>Послесловии</w:t>
      </w:r>
      <w:r w:rsidR="00AD4EF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к книге </w:t>
      </w:r>
      <w:r w:rsidR="00AD4EF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>За Стиви Смит</w:t>
      </w:r>
      <w:r w:rsidR="00AD4EF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 называла это подражанием: </w:t>
      </w:r>
      <w:r w:rsidR="00AD4EF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6076C">
        <w:rPr>
          <w:rFonts w:ascii="Times New Roman" w:eastAsia="Times New Roman" w:hAnsi="Times New Roman" w:cs="Times New Roman"/>
          <w:sz w:val="24"/>
          <w:szCs w:val="24"/>
          <w:highlight w:val="white"/>
        </w:rPr>
        <w:t>движение за образцом, осознанно не попадающее ему совсем уж след в след</w:t>
      </w:r>
      <w:r w:rsidR="00AD4EF2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AD4EF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AD4EF2" w:rsidRPr="00AD4EF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[4, 50]</w:t>
      </w:r>
      <w:r w:rsidRPr="00D6076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В архиве самого </w:t>
      </w:r>
      <w:proofErr w:type="spellStart"/>
      <w:r w:rsidRPr="00D6076C">
        <w:rPr>
          <w:rFonts w:ascii="Times New Roman" w:eastAsia="Times New Roman" w:hAnsi="Times New Roman" w:cs="Times New Roman"/>
          <w:sz w:val="24"/>
          <w:szCs w:val="24"/>
          <w:highlight w:val="white"/>
        </w:rPr>
        <w:t>Дашевского</w:t>
      </w:r>
      <w:proofErr w:type="spellEnd"/>
      <w:r w:rsidRPr="00D6076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мы находим: </w:t>
      </w:r>
      <w:r w:rsidR="00AD4EF2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Pr="00D6076C">
        <w:rPr>
          <w:rFonts w:ascii="Times New Roman" w:eastAsia="Times New Roman" w:hAnsi="Times New Roman" w:cs="Times New Roman"/>
          <w:sz w:val="24"/>
          <w:szCs w:val="24"/>
          <w:highlight w:val="white"/>
        </w:rPr>
        <w:t>чтобы &lt;…&gt; от меня стихотворение/история были на такой же дистанции как будут от читателя»</w:t>
      </w:r>
      <w:r w:rsidR="00AD4EF2" w:rsidRPr="00AD4EF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[1, 218]</w:t>
      </w:r>
      <w:r w:rsidRPr="00D6076C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09" w14:textId="77777777" w:rsidR="00AB558F" w:rsidRPr="00D6076C" w:rsidRDefault="00AB558F" w:rsidP="00D607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AB558F" w:rsidRPr="00D6076C" w:rsidRDefault="00000000" w:rsidP="00D607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76C">
        <w:rPr>
          <w:rFonts w:ascii="Times New Roman" w:eastAsia="Times New Roman" w:hAnsi="Times New Roman" w:cs="Times New Roman"/>
          <w:sz w:val="24"/>
          <w:szCs w:val="24"/>
        </w:rPr>
        <w:t xml:space="preserve">Литература: </w:t>
      </w:r>
    </w:p>
    <w:p w14:paraId="0000000B" w14:textId="77777777" w:rsidR="00AB558F" w:rsidRPr="00D6076C" w:rsidRDefault="00AB558F" w:rsidP="00D607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9CB3D1" w14:textId="613F429D" w:rsidR="00D6076C" w:rsidRDefault="00D6076C" w:rsidP="00D6076C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</w:pPr>
      <w:proofErr w:type="spellStart"/>
      <w:r w:rsidRPr="00D607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>Дашевский</w:t>
      </w:r>
      <w:proofErr w:type="spellEnd"/>
      <w:r w:rsidRPr="00D607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 xml:space="preserve"> Г.М. Переводы в режиме </w:t>
      </w:r>
      <w:r w:rsidR="00AD4E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>«</w:t>
      </w:r>
      <w:r w:rsidRPr="00D607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>минус…</w:t>
      </w:r>
      <w:r w:rsidR="00AD4E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>»</w:t>
      </w:r>
      <w:r w:rsidR="00DC7AFE" w:rsidRPr="00DC7AF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  <w:lang w:val="ru-RU"/>
        </w:rPr>
        <w:t xml:space="preserve"> // </w:t>
      </w:r>
      <w:r w:rsidRPr="00D607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>Новое литературное обозрение</w:t>
      </w:r>
      <w:r w:rsidR="00DC7AFE" w:rsidRPr="00DC7AF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  <w:lang w:val="ru-RU"/>
        </w:rPr>
        <w:t>.</w:t>
      </w:r>
      <w:r w:rsidRPr="00D607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 xml:space="preserve"> 2005</w:t>
      </w:r>
      <w:r w:rsidR="00DC7AFE" w:rsidRPr="00AD4E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  <w:lang w:val="ru-RU"/>
        </w:rPr>
        <w:t xml:space="preserve">, </w:t>
      </w:r>
      <w:r w:rsidR="00DC7AF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  <w:lang w:val="ru-RU"/>
        </w:rPr>
        <w:t>№3</w:t>
      </w:r>
      <w:r w:rsidR="00DC7AFE" w:rsidRPr="00AD4EF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  <w:lang w:val="ru-RU"/>
        </w:rPr>
        <w:t>.</w:t>
      </w:r>
    </w:p>
    <w:p w14:paraId="117C0DE2" w14:textId="4813CBD7" w:rsidR="00D6076C" w:rsidRDefault="00D6076C" w:rsidP="00D6076C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</w:pPr>
      <w:r w:rsidRPr="00D607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 xml:space="preserve">Левченко А.В. Перевод как смирение: поэзия в переводах Григория </w:t>
      </w:r>
      <w:proofErr w:type="spellStart"/>
      <w:r w:rsidRPr="00D607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>Дашевского</w:t>
      </w:r>
      <w:proofErr w:type="spellEnd"/>
      <w:r w:rsidR="00DC7AF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  <w:lang w:val="ru-RU"/>
        </w:rPr>
        <w:t xml:space="preserve"> // </w:t>
      </w:r>
      <w:proofErr w:type="spellStart"/>
      <w:r w:rsidRPr="00D607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>Вiд</w:t>
      </w:r>
      <w:proofErr w:type="spellEnd"/>
      <w:r w:rsidRPr="00D607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 xml:space="preserve"> </w:t>
      </w:r>
      <w:proofErr w:type="spellStart"/>
      <w:r w:rsidRPr="00D607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>бароко</w:t>
      </w:r>
      <w:proofErr w:type="spellEnd"/>
      <w:r w:rsidRPr="00D607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 xml:space="preserve"> до </w:t>
      </w:r>
      <w:proofErr w:type="spellStart"/>
      <w:r w:rsidRPr="00D607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>постмодернiзму</w:t>
      </w:r>
      <w:proofErr w:type="spellEnd"/>
      <w:r w:rsidR="00DC7AF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  <w:lang w:val="ru-RU"/>
        </w:rPr>
        <w:t>.</w:t>
      </w:r>
      <w:r w:rsidRPr="00D607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 xml:space="preserve"> 2015</w:t>
      </w:r>
      <w:r w:rsidR="00DC7AF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  <w:lang w:val="ru-RU"/>
        </w:rPr>
        <w:t>, №19.</w:t>
      </w:r>
    </w:p>
    <w:p w14:paraId="49D5E3F0" w14:textId="2AB68D4A" w:rsidR="00D6076C" w:rsidRPr="00D6076C" w:rsidRDefault="00DC7AFE" w:rsidP="00D6076C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</w:pPr>
      <w:r w:rsidRPr="00DC7A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Марков Александр Викторович Границы перевода в сборнике М. Степановой </w:t>
      </w:r>
      <w:r w:rsidR="00AD4EF2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DC7AFE">
        <w:rPr>
          <w:rFonts w:ascii="Times New Roman" w:eastAsia="Times New Roman" w:hAnsi="Times New Roman" w:cs="Times New Roman"/>
          <w:sz w:val="24"/>
          <w:szCs w:val="24"/>
          <w:lang w:val="ru-RU"/>
        </w:rPr>
        <w:t>за Стиви Смит</w:t>
      </w:r>
      <w:r w:rsidR="00AD4EF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DC7A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// Сибирский филологический форум. 2020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C7A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№1</w:t>
      </w:r>
      <w:r w:rsidR="00D6076C" w:rsidRPr="00D607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DE15D0" w14:textId="77777777" w:rsidR="00D6076C" w:rsidRPr="00D6076C" w:rsidRDefault="00D6076C" w:rsidP="00D6076C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</w:pPr>
      <w:r w:rsidRPr="00D6076C">
        <w:rPr>
          <w:rFonts w:ascii="Times New Roman" w:eastAsia="Times New Roman" w:hAnsi="Times New Roman" w:cs="Times New Roman"/>
          <w:sz w:val="24"/>
          <w:szCs w:val="24"/>
        </w:rPr>
        <w:t>Степанова М.М. За Стиви Смит. М.: Новое издательство, 2020.</w:t>
      </w:r>
    </w:p>
    <w:p w14:paraId="13DCB52E" w14:textId="46D96A98" w:rsidR="00D6076C" w:rsidRPr="00D6076C" w:rsidRDefault="00D6076C" w:rsidP="00D6076C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</w:pPr>
      <w:proofErr w:type="spellStart"/>
      <w:r w:rsidRPr="00D607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>Фанайлова</w:t>
      </w:r>
      <w:proofErr w:type="spellEnd"/>
      <w:r w:rsidRPr="00D607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 xml:space="preserve"> Е. О Григории </w:t>
      </w:r>
      <w:proofErr w:type="spellStart"/>
      <w:r w:rsidRPr="00D607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>Дашевском</w:t>
      </w:r>
      <w:proofErr w:type="spellEnd"/>
      <w:r w:rsidRPr="00D607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 xml:space="preserve">. — В кн.: </w:t>
      </w:r>
      <w:proofErr w:type="spellStart"/>
      <w:r w:rsidRPr="00D607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>Дашевский</w:t>
      </w:r>
      <w:proofErr w:type="spellEnd"/>
      <w:r w:rsidRPr="00D607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 xml:space="preserve"> Григорий. Дума Иван-чая. М.</w:t>
      </w:r>
      <w:r w:rsidR="00DC7AF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  <w:lang w:val="en-US"/>
        </w:rPr>
        <w:t xml:space="preserve">: </w:t>
      </w:r>
      <w:r w:rsidRPr="00D607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EFCFA"/>
        </w:rPr>
        <w:t>Новое литературное обозрение, 2001.</w:t>
      </w:r>
    </w:p>
    <w:p w14:paraId="00000011" w14:textId="77777777" w:rsidR="00AB558F" w:rsidRPr="00D6076C" w:rsidRDefault="00AB558F" w:rsidP="00D6076C">
      <w:pPr>
        <w:ind w:firstLine="709"/>
        <w:jc w:val="both"/>
        <w:rPr>
          <w:sz w:val="24"/>
          <w:szCs w:val="24"/>
        </w:rPr>
      </w:pPr>
    </w:p>
    <w:sectPr w:rsidR="00AB558F" w:rsidRPr="00D6076C" w:rsidSect="00D6076C">
      <w:pgSz w:w="11909" w:h="16834"/>
      <w:pgMar w:top="1134" w:right="1361" w:bottom="1134" w:left="136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302F8"/>
    <w:multiLevelType w:val="hybridMultilevel"/>
    <w:tmpl w:val="2002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25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58F"/>
    <w:rsid w:val="00AB558F"/>
    <w:rsid w:val="00AD4EF2"/>
    <w:rsid w:val="00D6076C"/>
    <w:rsid w:val="00D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9F728B"/>
  <w15:docId w15:val="{24B42E99-E287-5A45-8A65-817C9649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D60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Glukhenkiy</cp:lastModifiedBy>
  <cp:revision>2</cp:revision>
  <dcterms:created xsi:type="dcterms:W3CDTF">2024-02-29T19:53:00Z</dcterms:created>
  <dcterms:modified xsi:type="dcterms:W3CDTF">2024-02-29T20:22:00Z</dcterms:modified>
</cp:coreProperties>
</file>