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2D21" w14:textId="77777777" w:rsidR="000E1C85" w:rsidRDefault="00006191" w:rsidP="00C911F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Употребление дательного падежа </w:t>
      </w:r>
      <w:proofErr w:type="spellStart"/>
      <w:r>
        <w:rPr>
          <w:rFonts w:ascii="Times New Roman" w:hAnsi="Times New Roman"/>
          <w:b/>
          <w:sz w:val="24"/>
        </w:rPr>
        <w:t>герундивной</w:t>
      </w:r>
      <w:proofErr w:type="spellEnd"/>
      <w:r>
        <w:rPr>
          <w:rFonts w:ascii="Times New Roman" w:hAnsi="Times New Roman"/>
          <w:b/>
          <w:sz w:val="24"/>
        </w:rPr>
        <w:t xml:space="preserve"> конструкции в трактате </w:t>
      </w:r>
      <w:proofErr w:type="spellStart"/>
      <w:r>
        <w:rPr>
          <w:rFonts w:ascii="Times New Roman" w:hAnsi="Times New Roman"/>
          <w:b/>
          <w:sz w:val="24"/>
        </w:rPr>
        <w:t>Цельса</w:t>
      </w:r>
      <w:proofErr w:type="spellEnd"/>
      <w:r>
        <w:rPr>
          <w:rFonts w:ascii="Times New Roman" w:hAnsi="Times New Roman"/>
          <w:b/>
          <w:sz w:val="24"/>
        </w:rPr>
        <w:t xml:space="preserve"> «О медицине»</w:t>
      </w:r>
    </w:p>
    <w:p w14:paraId="1C7F4FB0" w14:textId="77777777" w:rsidR="000E1C85" w:rsidRDefault="00006191" w:rsidP="00C911F4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Алексеева Алина Алексеевна</w:t>
      </w:r>
    </w:p>
    <w:p w14:paraId="5B20E0C9" w14:textId="5E8654C9" w:rsidR="000E1C85" w:rsidRDefault="00006191" w:rsidP="00C911F4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Аспирантка Московского государственного университета имени </w:t>
      </w:r>
      <w:proofErr w:type="spellStart"/>
      <w:r>
        <w:rPr>
          <w:rFonts w:ascii="Times New Roman" w:hAnsi="Times New Roman"/>
          <w:sz w:val="24"/>
        </w:rPr>
        <w:t>М.В.Ломоносова</w:t>
      </w:r>
      <w:proofErr w:type="spellEnd"/>
      <w:r>
        <w:rPr>
          <w:rFonts w:ascii="Times New Roman" w:hAnsi="Times New Roman"/>
          <w:sz w:val="24"/>
        </w:rPr>
        <w:t>, Москва, Россия</w:t>
      </w:r>
    </w:p>
    <w:p w14:paraId="175C74A9" w14:textId="5B4A0A20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настоящем докладе рассматривается вопрос о том, каким образом в сочинении </w:t>
      </w:r>
      <w:proofErr w:type="spellStart"/>
      <w:r>
        <w:rPr>
          <w:rFonts w:ascii="Times New Roman" w:hAnsi="Times New Roman"/>
          <w:sz w:val="24"/>
        </w:rPr>
        <w:t>Цельса</w:t>
      </w:r>
      <w:proofErr w:type="spellEnd"/>
      <w:r>
        <w:rPr>
          <w:rFonts w:ascii="Times New Roman" w:hAnsi="Times New Roman"/>
          <w:sz w:val="24"/>
        </w:rPr>
        <w:t xml:space="preserve"> «О медицине» используется </w:t>
      </w:r>
      <w:proofErr w:type="spellStart"/>
      <w:r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в форме дательного падежа. В основных грамматиках латинского языка указывается, что </w:t>
      </w:r>
      <w:proofErr w:type="spellStart"/>
      <w:r>
        <w:rPr>
          <w:rFonts w:ascii="Times New Roman" w:hAnsi="Times New Roman"/>
          <w:sz w:val="24"/>
        </w:rPr>
        <w:t>dativus</w:t>
      </w:r>
      <w:proofErr w:type="spellEnd"/>
      <w:r>
        <w:rPr>
          <w:rFonts w:ascii="Times New Roman" w:hAnsi="Times New Roman"/>
          <w:sz w:val="24"/>
        </w:rPr>
        <w:t xml:space="preserve"> герундия и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– довольно редкая грамматическая форма, которая может использоваться в значении цели. В «Грамматике латинского языка» С. И. Соболевский </w:t>
      </w:r>
      <w:r w:rsidR="00C911F4" w:rsidRPr="00C911F4">
        <w:rPr>
          <w:rFonts w:ascii="Times New Roman" w:hAnsi="Times New Roman"/>
          <w:sz w:val="24"/>
        </w:rPr>
        <w:t>[</w:t>
      </w:r>
      <w:r w:rsidR="00C911F4">
        <w:rPr>
          <w:rFonts w:ascii="Times New Roman" w:hAnsi="Times New Roman"/>
          <w:sz w:val="24"/>
        </w:rPr>
        <w:t xml:space="preserve">Соболевский: </w:t>
      </w:r>
      <w:r w:rsidR="00432DF7">
        <w:rPr>
          <w:rFonts w:ascii="Times New Roman" w:hAnsi="Times New Roman"/>
          <w:sz w:val="24"/>
        </w:rPr>
        <w:t>389-390</w:t>
      </w:r>
      <w:r w:rsidR="00C911F4" w:rsidRPr="00C911F4">
        <w:rPr>
          <w:rFonts w:ascii="Times New Roman" w:hAnsi="Times New Roman"/>
          <w:sz w:val="24"/>
        </w:rPr>
        <w:t xml:space="preserve">] </w:t>
      </w:r>
      <w:r>
        <w:rPr>
          <w:rFonts w:ascii="Times New Roman" w:hAnsi="Times New Roman"/>
          <w:sz w:val="24"/>
        </w:rPr>
        <w:t xml:space="preserve">сообщает о двух основных способах употребления дательного падежа герундия и герундива: в конкретных устойчивых выражениях (а именно при глаголе </w:t>
      </w:r>
      <w:proofErr w:type="spellStart"/>
      <w:r>
        <w:rPr>
          <w:rFonts w:ascii="Times New Roman" w:hAnsi="Times New Roman"/>
          <w:sz w:val="24"/>
        </w:rPr>
        <w:t>studere</w:t>
      </w:r>
      <w:proofErr w:type="spellEnd"/>
      <w:r>
        <w:rPr>
          <w:rFonts w:ascii="Times New Roman" w:hAnsi="Times New Roman"/>
          <w:sz w:val="24"/>
        </w:rPr>
        <w:t xml:space="preserve">, выражении </w:t>
      </w:r>
      <w:proofErr w:type="spellStart"/>
      <w:r>
        <w:rPr>
          <w:rFonts w:ascii="Times New Roman" w:hAnsi="Times New Roman"/>
          <w:sz w:val="24"/>
        </w:rPr>
        <w:t>operam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dare</w:t>
      </w:r>
      <w:proofErr w:type="spellEnd"/>
      <w:r>
        <w:rPr>
          <w:rFonts w:ascii="Times New Roman" w:hAnsi="Times New Roman"/>
          <w:sz w:val="24"/>
        </w:rPr>
        <w:t xml:space="preserve"> и в выражении </w:t>
      </w:r>
      <w:proofErr w:type="spellStart"/>
      <w:r>
        <w:rPr>
          <w:rFonts w:ascii="Times New Roman" w:hAnsi="Times New Roman"/>
          <w:sz w:val="24"/>
        </w:rPr>
        <w:t>soluendo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esse</w:t>
      </w:r>
      <w:proofErr w:type="spellEnd"/>
      <w:r>
        <w:rPr>
          <w:rFonts w:ascii="Times New Roman" w:hAnsi="Times New Roman"/>
          <w:sz w:val="24"/>
        </w:rPr>
        <w:t>) и при названиях должностных лиц. В работе «</w:t>
      </w:r>
      <w:proofErr w:type="spellStart"/>
      <w:r>
        <w:rPr>
          <w:rFonts w:ascii="Times New Roman" w:hAnsi="Times New Roman"/>
          <w:sz w:val="24"/>
        </w:rPr>
        <w:t>Syntaxe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Latine</w:t>
      </w:r>
      <w:proofErr w:type="spellEnd"/>
      <w:r>
        <w:rPr>
          <w:rFonts w:ascii="Times New Roman" w:hAnsi="Times New Roman"/>
          <w:sz w:val="24"/>
        </w:rPr>
        <w:t xml:space="preserve">» Эрну и Тома </w:t>
      </w:r>
      <w:r w:rsidR="00432DF7" w:rsidRPr="00432DF7">
        <w:rPr>
          <w:rFonts w:ascii="Times New Roman" w:hAnsi="Times New Roman"/>
          <w:sz w:val="24"/>
        </w:rPr>
        <w:t>[</w:t>
      </w:r>
      <w:proofErr w:type="spellStart"/>
      <w:r w:rsidR="00432DF7" w:rsidRPr="00432DF7">
        <w:rPr>
          <w:rFonts w:ascii="Times New Roman" w:hAnsi="Times New Roman"/>
          <w:sz w:val="24"/>
        </w:rPr>
        <w:t>Ernout</w:t>
      </w:r>
      <w:proofErr w:type="spellEnd"/>
      <w:r w:rsidR="00432DF7" w:rsidRPr="00432DF7">
        <w:rPr>
          <w:rFonts w:ascii="Times New Roman" w:hAnsi="Times New Roman"/>
          <w:sz w:val="24"/>
        </w:rPr>
        <w:t xml:space="preserve">, </w:t>
      </w:r>
      <w:proofErr w:type="spellStart"/>
      <w:r w:rsidR="00432DF7" w:rsidRPr="00432DF7">
        <w:rPr>
          <w:rFonts w:ascii="Times New Roman" w:hAnsi="Times New Roman"/>
          <w:sz w:val="24"/>
        </w:rPr>
        <w:t>Thomas</w:t>
      </w:r>
      <w:proofErr w:type="spellEnd"/>
      <w:r w:rsidR="00432DF7" w:rsidRPr="00432DF7">
        <w:rPr>
          <w:rFonts w:ascii="Times New Roman" w:hAnsi="Times New Roman"/>
          <w:sz w:val="24"/>
        </w:rPr>
        <w:t xml:space="preserve">: 265-266] </w:t>
      </w:r>
      <w:r>
        <w:rPr>
          <w:rFonts w:ascii="Times New Roman" w:hAnsi="Times New Roman"/>
          <w:sz w:val="24"/>
        </w:rPr>
        <w:t>упоминается также употребление дат</w:t>
      </w:r>
      <w:r w:rsidR="00432DF7">
        <w:rPr>
          <w:rFonts w:ascii="Times New Roman" w:hAnsi="Times New Roman"/>
          <w:sz w:val="24"/>
        </w:rPr>
        <w:t>ельного падежа</w:t>
      </w:r>
      <w:r>
        <w:rPr>
          <w:rFonts w:ascii="Times New Roman" w:hAnsi="Times New Roman"/>
          <w:sz w:val="24"/>
        </w:rPr>
        <w:t xml:space="preserve"> герундива в сочетании с некоторыми прилагательными (</w:t>
      </w:r>
      <w:proofErr w:type="spellStart"/>
      <w:r>
        <w:rPr>
          <w:rFonts w:ascii="Times New Roman" w:hAnsi="Times New Roman"/>
          <w:sz w:val="24"/>
        </w:rPr>
        <w:t>accomodatus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aptus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idoneus</w:t>
      </w:r>
      <w:proofErr w:type="spellEnd"/>
      <w:r>
        <w:rPr>
          <w:rFonts w:ascii="Times New Roman" w:hAnsi="Times New Roman"/>
          <w:sz w:val="24"/>
        </w:rPr>
        <w:t xml:space="preserve">). В «A </w:t>
      </w:r>
      <w:proofErr w:type="spellStart"/>
      <w:r>
        <w:rPr>
          <w:rFonts w:ascii="Times New Roman" w:hAnsi="Times New Roman"/>
          <w:sz w:val="24"/>
        </w:rPr>
        <w:t>New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Syntax</w:t>
      </w:r>
      <w:proofErr w:type="spellEnd"/>
      <w:r>
        <w:rPr>
          <w:rFonts w:ascii="Times New Roman" w:hAnsi="Times New Roman"/>
          <w:sz w:val="24"/>
        </w:rPr>
        <w:t xml:space="preserve">» </w:t>
      </w:r>
      <w:proofErr w:type="spellStart"/>
      <w:r>
        <w:rPr>
          <w:rFonts w:ascii="Times New Roman" w:hAnsi="Times New Roman"/>
          <w:sz w:val="24"/>
        </w:rPr>
        <w:t>Вудкока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32DF7" w:rsidRPr="00432DF7">
        <w:rPr>
          <w:rFonts w:ascii="Times New Roman" w:hAnsi="Times New Roman"/>
          <w:sz w:val="24"/>
        </w:rPr>
        <w:t>[</w:t>
      </w:r>
      <w:r w:rsidR="00432DF7">
        <w:rPr>
          <w:rFonts w:ascii="Times New Roman" w:hAnsi="Times New Roman"/>
          <w:sz w:val="24"/>
          <w:lang w:val="en-US"/>
        </w:rPr>
        <w:t>Woodcock</w:t>
      </w:r>
      <w:r w:rsidR="00432DF7" w:rsidRPr="00432DF7">
        <w:rPr>
          <w:rFonts w:ascii="Times New Roman" w:hAnsi="Times New Roman"/>
          <w:sz w:val="24"/>
        </w:rPr>
        <w:t xml:space="preserve">: 160] </w:t>
      </w:r>
      <w:r>
        <w:rPr>
          <w:rFonts w:ascii="Times New Roman" w:hAnsi="Times New Roman"/>
          <w:sz w:val="24"/>
        </w:rPr>
        <w:t xml:space="preserve">относительно использования дательного падежа герундия и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говорится, что эта грамматическая форма употребляется при глаголах и выражениях, требующих при себе дополнения в дательном падеже, и в некоторых идиоматических выражениях.</w:t>
      </w:r>
    </w:p>
    <w:p w14:paraId="50F4319D" w14:textId="7E7AD03C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трактате </w:t>
      </w:r>
      <w:proofErr w:type="spellStart"/>
      <w:r>
        <w:rPr>
          <w:rFonts w:ascii="Times New Roman" w:hAnsi="Times New Roman"/>
          <w:sz w:val="24"/>
        </w:rPr>
        <w:t>Цельса</w:t>
      </w:r>
      <w:proofErr w:type="spellEnd"/>
      <w:r>
        <w:rPr>
          <w:rFonts w:ascii="Times New Roman" w:hAnsi="Times New Roman"/>
          <w:sz w:val="24"/>
        </w:rPr>
        <w:t xml:space="preserve"> «О медицине» мы обнаружили 11 случаев использования дат</w:t>
      </w:r>
      <w:r w:rsidR="00432DF7">
        <w:rPr>
          <w:rFonts w:ascii="Times New Roman" w:hAnsi="Times New Roman"/>
          <w:sz w:val="24"/>
        </w:rPr>
        <w:t>ельного падежа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конструкции. </w:t>
      </w:r>
      <w:r w:rsidR="00B56C87">
        <w:rPr>
          <w:rFonts w:ascii="Times New Roman" w:hAnsi="Times New Roman"/>
          <w:sz w:val="24"/>
        </w:rPr>
        <w:t xml:space="preserve">Эти случаи не рассматривались в труде Д. </w:t>
      </w:r>
      <w:proofErr w:type="spellStart"/>
      <w:r w:rsidR="00B56C87">
        <w:rPr>
          <w:rFonts w:ascii="Times New Roman" w:hAnsi="Times New Roman"/>
          <w:sz w:val="24"/>
        </w:rPr>
        <w:t>Лангслоу</w:t>
      </w:r>
      <w:proofErr w:type="spellEnd"/>
      <w:r w:rsidR="00B56C87">
        <w:rPr>
          <w:rFonts w:ascii="Times New Roman" w:hAnsi="Times New Roman"/>
          <w:sz w:val="24"/>
        </w:rPr>
        <w:t xml:space="preserve"> о медицинской латыни в Римской империи. </w:t>
      </w:r>
      <w:r>
        <w:rPr>
          <w:rFonts w:ascii="Times New Roman" w:hAnsi="Times New Roman"/>
          <w:sz w:val="24"/>
        </w:rPr>
        <w:t xml:space="preserve">8 раз </w:t>
      </w:r>
      <w:proofErr w:type="spellStart"/>
      <w:r w:rsidR="00B56C87"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</w:t>
      </w:r>
      <w:r w:rsidR="00B56C87">
        <w:rPr>
          <w:rFonts w:ascii="Times New Roman" w:hAnsi="Times New Roman"/>
          <w:sz w:val="24"/>
        </w:rPr>
        <w:t xml:space="preserve">в дательном падеже </w:t>
      </w:r>
      <w:r>
        <w:rPr>
          <w:rFonts w:ascii="Times New Roman" w:hAnsi="Times New Roman"/>
          <w:sz w:val="24"/>
        </w:rPr>
        <w:t xml:space="preserve">употребляется в придаточных предложениях определительных, с помощью которых </w:t>
      </w:r>
      <w:proofErr w:type="spellStart"/>
      <w:r>
        <w:rPr>
          <w:rFonts w:ascii="Times New Roman" w:hAnsi="Times New Roman"/>
          <w:sz w:val="24"/>
        </w:rPr>
        <w:t>Цельс</w:t>
      </w:r>
      <w:proofErr w:type="spellEnd"/>
      <w:r>
        <w:rPr>
          <w:rFonts w:ascii="Times New Roman" w:hAnsi="Times New Roman"/>
          <w:sz w:val="24"/>
        </w:rPr>
        <w:t xml:space="preserve"> называет некоторые группы лекарственных средств или даёт им характеристику. В таких случаях дательный падеж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является именной частью составного именного сказуемого, а в роли подлежащего используется местоимение </w:t>
      </w:r>
      <w:proofErr w:type="spellStart"/>
      <w:r>
        <w:rPr>
          <w:rFonts w:ascii="Times New Roman" w:hAnsi="Times New Roman"/>
          <w:sz w:val="24"/>
        </w:rPr>
        <w:t>qui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quae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quod</w:t>
      </w:r>
      <w:proofErr w:type="spellEnd"/>
      <w:r>
        <w:rPr>
          <w:rFonts w:ascii="Times New Roman" w:hAnsi="Times New Roman"/>
          <w:sz w:val="24"/>
        </w:rPr>
        <w:t>. Например:</w:t>
      </w:r>
    </w:p>
    <w:p w14:paraId="6003D123" w14:textId="77777777" w:rsidR="00C911F4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C911F4">
        <w:rPr>
          <w:rFonts w:ascii="Times New Roman" w:hAnsi="Times New Roman"/>
          <w:sz w:val="24"/>
          <w:lang w:val="en-US"/>
        </w:rPr>
        <w:t>Neque</w:t>
      </w:r>
      <w:proofErr w:type="spellEnd"/>
      <w:r w:rsidRPr="00C911F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C911F4">
        <w:rPr>
          <w:rFonts w:ascii="Times New Roman" w:hAnsi="Times New Roman"/>
          <w:sz w:val="24"/>
          <w:lang w:val="en-US"/>
        </w:rPr>
        <w:t>utilia</w:t>
      </w:r>
      <w:proofErr w:type="spellEnd"/>
      <w:r w:rsidRPr="00C911F4">
        <w:rPr>
          <w:rFonts w:ascii="Times New Roman" w:hAnsi="Times New Roman"/>
          <w:sz w:val="24"/>
          <w:lang w:val="en-US"/>
        </w:rPr>
        <w:t xml:space="preserve"> sunt </w:t>
      </w:r>
      <w:proofErr w:type="spellStart"/>
      <w:r w:rsidRPr="00C911F4">
        <w:rPr>
          <w:rFonts w:ascii="Times New Roman" w:hAnsi="Times New Roman"/>
          <w:b/>
          <w:sz w:val="24"/>
          <w:lang w:val="en-US"/>
        </w:rPr>
        <w:t>quae</w:t>
      </w:r>
      <w:proofErr w:type="spellEnd"/>
      <w:r w:rsidRPr="00C911F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C911F4">
        <w:rPr>
          <w:rFonts w:ascii="Times New Roman" w:hAnsi="Times New Roman"/>
          <w:b/>
          <w:sz w:val="24"/>
          <w:lang w:val="en-US"/>
        </w:rPr>
        <w:t>urinae</w:t>
      </w:r>
      <w:proofErr w:type="spellEnd"/>
      <w:r w:rsidRPr="00C911F4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Pr="00C911F4">
        <w:rPr>
          <w:rFonts w:ascii="Times New Roman" w:hAnsi="Times New Roman"/>
          <w:b/>
          <w:sz w:val="24"/>
          <w:lang w:val="en-US"/>
        </w:rPr>
        <w:t>mouendae</w:t>
      </w:r>
      <w:proofErr w:type="spellEnd"/>
      <w:r w:rsidRPr="00C911F4">
        <w:rPr>
          <w:rFonts w:ascii="Times New Roman" w:hAnsi="Times New Roman"/>
          <w:b/>
          <w:sz w:val="24"/>
          <w:lang w:val="en-US"/>
        </w:rPr>
        <w:t xml:space="preserve"> sunt</w:t>
      </w:r>
      <w:r w:rsidRPr="00C911F4">
        <w:rPr>
          <w:rFonts w:ascii="Times New Roman" w:hAnsi="Times New Roman"/>
          <w:sz w:val="24"/>
          <w:lang w:val="en-US"/>
        </w:rPr>
        <w:t>… (IV 9, 2)</w:t>
      </w:r>
    </w:p>
    <w:p w14:paraId="5C412933" w14:textId="77777777" w:rsidR="00C911F4" w:rsidRDefault="00C911F4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...</w:t>
      </w:r>
      <w:proofErr w:type="spellStart"/>
      <w:r w:rsidR="00476D5E" w:rsidRPr="00476D5E">
        <w:rPr>
          <w:rFonts w:ascii="Times New Roman" w:hAnsi="Times New Roman"/>
          <w:sz w:val="24"/>
          <w:lang w:val="en-US"/>
        </w:rPr>
        <w:t>frigusque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 omni </w:t>
      </w:r>
      <w:proofErr w:type="spellStart"/>
      <w:r w:rsidR="00476D5E" w:rsidRPr="00476D5E">
        <w:rPr>
          <w:rFonts w:ascii="Times New Roman" w:hAnsi="Times New Roman"/>
          <w:sz w:val="24"/>
          <w:lang w:val="en-US"/>
        </w:rPr>
        <w:t>ratione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76D5E" w:rsidRPr="00476D5E">
        <w:rPr>
          <w:rFonts w:ascii="Times New Roman" w:hAnsi="Times New Roman"/>
          <w:sz w:val="24"/>
          <w:lang w:val="en-US"/>
        </w:rPr>
        <w:t>uitandum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; et </w:t>
      </w:r>
      <w:proofErr w:type="spellStart"/>
      <w:r w:rsidR="00476D5E" w:rsidRPr="00476D5E">
        <w:rPr>
          <w:rFonts w:ascii="Times New Roman" w:hAnsi="Times New Roman"/>
          <w:sz w:val="24"/>
          <w:lang w:val="en-US"/>
        </w:rPr>
        <w:t>transeundum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76D5E" w:rsidRPr="00476D5E">
        <w:rPr>
          <w:rFonts w:ascii="Times New Roman" w:hAnsi="Times New Roman"/>
          <w:sz w:val="24"/>
          <w:lang w:val="en-US"/>
        </w:rPr>
        <w:t>ad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476D5E" w:rsidRPr="00476D5E">
        <w:rPr>
          <w:rFonts w:ascii="Times New Roman" w:hAnsi="Times New Roman"/>
          <w:b/>
          <w:bCs/>
          <w:sz w:val="24"/>
          <w:lang w:val="en-US"/>
        </w:rPr>
        <w:t>medicamenta</w:t>
      </w:r>
      <w:proofErr w:type="spellEnd"/>
      <w:r w:rsidR="00476D5E" w:rsidRPr="00476D5E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="00476D5E" w:rsidRPr="00476D5E">
        <w:rPr>
          <w:rFonts w:ascii="Times New Roman" w:hAnsi="Times New Roman"/>
          <w:b/>
          <w:bCs/>
          <w:sz w:val="24"/>
          <w:lang w:val="en-US"/>
        </w:rPr>
        <w:t>quae</w:t>
      </w:r>
      <w:proofErr w:type="spellEnd"/>
      <w:r w:rsidR="00476D5E" w:rsidRPr="00476D5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="00476D5E" w:rsidRPr="00476D5E">
        <w:rPr>
          <w:rFonts w:ascii="Times New Roman" w:hAnsi="Times New Roman"/>
          <w:b/>
          <w:bCs/>
          <w:sz w:val="24"/>
          <w:lang w:val="en-US"/>
        </w:rPr>
        <w:t>puri</w:t>
      </w:r>
      <w:proofErr w:type="spellEnd"/>
      <w:r w:rsidR="00476D5E" w:rsidRPr="00476D5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="00476D5E" w:rsidRPr="00476D5E">
        <w:rPr>
          <w:rFonts w:ascii="Times New Roman" w:hAnsi="Times New Roman"/>
          <w:b/>
          <w:bCs/>
          <w:sz w:val="24"/>
          <w:lang w:val="en-US"/>
        </w:rPr>
        <w:t>mouendo</w:t>
      </w:r>
      <w:proofErr w:type="spellEnd"/>
      <w:r w:rsidR="00476D5E" w:rsidRPr="00476D5E">
        <w:rPr>
          <w:rFonts w:ascii="Times New Roman" w:hAnsi="Times New Roman"/>
          <w:b/>
          <w:bCs/>
          <w:sz w:val="24"/>
          <w:lang w:val="en-US"/>
        </w:rPr>
        <w:t xml:space="preserve"> sunt</w:t>
      </w:r>
      <w:r w:rsidR="00476D5E">
        <w:rPr>
          <w:rFonts w:ascii="Times New Roman" w:hAnsi="Times New Roman"/>
          <w:sz w:val="24"/>
          <w:lang w:val="en-US"/>
        </w:rPr>
        <w:t xml:space="preserve">… </w:t>
      </w:r>
      <w:r w:rsidR="00476D5E" w:rsidRPr="00476D5E">
        <w:rPr>
          <w:rFonts w:ascii="Times New Roman" w:hAnsi="Times New Roman"/>
          <w:sz w:val="24"/>
        </w:rPr>
        <w:t>(</w:t>
      </w:r>
      <w:r w:rsidR="00476D5E">
        <w:rPr>
          <w:rFonts w:ascii="Times New Roman" w:hAnsi="Times New Roman"/>
          <w:sz w:val="24"/>
          <w:lang w:val="en-US"/>
        </w:rPr>
        <w:t>VIII</w:t>
      </w:r>
      <w:r w:rsidR="00476D5E" w:rsidRPr="00476D5E">
        <w:rPr>
          <w:rFonts w:ascii="Times New Roman" w:hAnsi="Times New Roman"/>
          <w:sz w:val="24"/>
        </w:rPr>
        <w:t xml:space="preserve"> 10, 7</w:t>
      </w:r>
      <w:r w:rsidR="00476D5E">
        <w:rPr>
          <w:rFonts w:ascii="Times New Roman" w:hAnsi="Times New Roman"/>
          <w:sz w:val="24"/>
          <w:lang w:val="en-US"/>
        </w:rPr>
        <w:t>F</w:t>
      </w:r>
      <w:r w:rsidR="00476D5E" w:rsidRPr="00476D5E">
        <w:rPr>
          <w:rFonts w:ascii="Times New Roman" w:hAnsi="Times New Roman"/>
          <w:sz w:val="24"/>
        </w:rPr>
        <w:t>)</w:t>
      </w:r>
    </w:p>
    <w:p w14:paraId="1F117C35" w14:textId="460C2DAD" w:rsidR="000E1C85" w:rsidRPr="00476D5E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первом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приведенных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нами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примеров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помощью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определительного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придаточного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предложения</w:t>
      </w:r>
      <w:r w:rsidRPr="00476D5E">
        <w:rPr>
          <w:rFonts w:ascii="Times New Roman" w:hAnsi="Times New Roman"/>
          <w:sz w:val="24"/>
        </w:rPr>
        <w:t xml:space="preserve"> </w:t>
      </w:r>
      <w:proofErr w:type="spellStart"/>
      <w:r w:rsidRPr="00476D5E">
        <w:rPr>
          <w:rFonts w:ascii="Times New Roman" w:hAnsi="Times New Roman"/>
          <w:sz w:val="24"/>
          <w:lang w:val="en-US"/>
        </w:rPr>
        <w:t>quae</w:t>
      </w:r>
      <w:proofErr w:type="spellEnd"/>
      <w:r w:rsidRPr="00476D5E">
        <w:rPr>
          <w:rFonts w:ascii="Times New Roman" w:hAnsi="Times New Roman"/>
          <w:sz w:val="24"/>
        </w:rPr>
        <w:t xml:space="preserve"> </w:t>
      </w:r>
      <w:proofErr w:type="spellStart"/>
      <w:r w:rsidRPr="00476D5E">
        <w:rPr>
          <w:rFonts w:ascii="Times New Roman" w:hAnsi="Times New Roman"/>
          <w:sz w:val="24"/>
          <w:lang w:val="en-US"/>
        </w:rPr>
        <w:t>urinae</w:t>
      </w:r>
      <w:proofErr w:type="spellEnd"/>
      <w:r w:rsidRPr="00476D5E">
        <w:rPr>
          <w:rFonts w:ascii="Times New Roman" w:hAnsi="Times New Roman"/>
          <w:sz w:val="24"/>
        </w:rPr>
        <w:t xml:space="preserve"> </w:t>
      </w:r>
      <w:proofErr w:type="spellStart"/>
      <w:r w:rsidRPr="00476D5E">
        <w:rPr>
          <w:rFonts w:ascii="Times New Roman" w:hAnsi="Times New Roman"/>
          <w:sz w:val="24"/>
          <w:lang w:val="en-US"/>
        </w:rPr>
        <w:t>mouendae</w:t>
      </w:r>
      <w:proofErr w:type="spellEnd"/>
      <w:r w:rsidRPr="00476D5E">
        <w:rPr>
          <w:rFonts w:ascii="Times New Roman" w:hAnsi="Times New Roman"/>
          <w:sz w:val="24"/>
        </w:rPr>
        <w:t xml:space="preserve"> </w:t>
      </w:r>
      <w:r w:rsidRPr="00476D5E">
        <w:rPr>
          <w:rFonts w:ascii="Times New Roman" w:hAnsi="Times New Roman"/>
          <w:sz w:val="24"/>
          <w:lang w:val="en-US"/>
        </w:rPr>
        <w:t>sunt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обозначаются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мочегонные</w:t>
      </w:r>
      <w:r w:rsidRPr="00476D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лекарства</w:t>
      </w:r>
      <w:r w:rsidRPr="00476D5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Интересно, что эта разновидность лекарственных средств может выражаться иным образом: </w:t>
      </w:r>
      <w:proofErr w:type="spellStart"/>
      <w:r>
        <w:rPr>
          <w:rFonts w:ascii="Times New Roman" w:hAnsi="Times New Roman"/>
          <w:sz w:val="24"/>
        </w:rPr>
        <w:t>participium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praesentis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actiui</w:t>
      </w:r>
      <w:proofErr w:type="spellEnd"/>
      <w:r>
        <w:rPr>
          <w:rFonts w:ascii="Times New Roman" w:hAnsi="Times New Roman"/>
          <w:sz w:val="24"/>
        </w:rPr>
        <w:t xml:space="preserve"> в форме среднего рода множественного числа и зависящее от него прямое дополнение в аккузативе – </w:t>
      </w:r>
      <w:proofErr w:type="spellStart"/>
      <w:r>
        <w:rPr>
          <w:rFonts w:ascii="Times New Roman" w:hAnsi="Times New Roman"/>
          <w:sz w:val="24"/>
        </w:rPr>
        <w:t>urinam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mouentia</w:t>
      </w:r>
      <w:proofErr w:type="spellEnd"/>
      <w:r>
        <w:rPr>
          <w:rFonts w:ascii="Times New Roman" w:hAnsi="Times New Roman"/>
          <w:sz w:val="24"/>
        </w:rPr>
        <w:t xml:space="preserve"> (V 27, 3E). Во втором примере речь идет о </w:t>
      </w:r>
      <w:r w:rsidR="00476D5E">
        <w:rPr>
          <w:rFonts w:ascii="Times New Roman" w:hAnsi="Times New Roman"/>
          <w:sz w:val="24"/>
        </w:rPr>
        <w:t>лекарствах, способствующих выделению гноя.</w:t>
      </w:r>
      <w:r>
        <w:rPr>
          <w:rFonts w:ascii="Times New Roman" w:hAnsi="Times New Roman"/>
          <w:sz w:val="24"/>
        </w:rPr>
        <w:t xml:space="preserve"> Придаточное предложение определительное </w:t>
      </w:r>
      <w:proofErr w:type="spellStart"/>
      <w:r w:rsidR="00476D5E" w:rsidRPr="00476D5E">
        <w:rPr>
          <w:rFonts w:ascii="Times New Roman" w:hAnsi="Times New Roman"/>
          <w:sz w:val="24"/>
        </w:rPr>
        <w:t>quae</w:t>
      </w:r>
      <w:proofErr w:type="spellEnd"/>
      <w:r w:rsidR="00476D5E" w:rsidRPr="00476D5E">
        <w:rPr>
          <w:rFonts w:ascii="Times New Roman" w:hAnsi="Times New Roman"/>
          <w:sz w:val="24"/>
        </w:rPr>
        <w:t xml:space="preserve"> </w:t>
      </w:r>
      <w:proofErr w:type="spellStart"/>
      <w:r w:rsidR="00476D5E" w:rsidRPr="00476D5E">
        <w:rPr>
          <w:rFonts w:ascii="Times New Roman" w:hAnsi="Times New Roman"/>
          <w:sz w:val="24"/>
        </w:rPr>
        <w:t>puri</w:t>
      </w:r>
      <w:proofErr w:type="spellEnd"/>
      <w:r w:rsidR="00476D5E" w:rsidRPr="00476D5E">
        <w:rPr>
          <w:rFonts w:ascii="Times New Roman" w:hAnsi="Times New Roman"/>
          <w:sz w:val="24"/>
        </w:rPr>
        <w:t xml:space="preserve"> </w:t>
      </w:r>
      <w:proofErr w:type="spellStart"/>
      <w:r w:rsidR="00476D5E" w:rsidRPr="00476D5E">
        <w:rPr>
          <w:rFonts w:ascii="Times New Roman" w:hAnsi="Times New Roman"/>
          <w:sz w:val="24"/>
        </w:rPr>
        <w:t>mouendo</w:t>
      </w:r>
      <w:proofErr w:type="spellEnd"/>
      <w:r w:rsidR="00476D5E" w:rsidRPr="00476D5E">
        <w:rPr>
          <w:rFonts w:ascii="Times New Roman" w:hAnsi="Times New Roman"/>
          <w:sz w:val="24"/>
        </w:rPr>
        <w:t xml:space="preserve"> </w:t>
      </w:r>
      <w:proofErr w:type="spellStart"/>
      <w:r w:rsidR="00476D5E" w:rsidRPr="00476D5E">
        <w:rPr>
          <w:rFonts w:ascii="Times New Roman" w:hAnsi="Times New Roman"/>
          <w:sz w:val="24"/>
        </w:rPr>
        <w:t>sunt</w:t>
      </w:r>
      <w:proofErr w:type="spellEnd"/>
      <w:r w:rsidR="00476D5E" w:rsidRPr="00476D5E">
        <w:rPr>
          <w:rFonts w:ascii="Times New Roman" w:hAnsi="Times New Roman"/>
          <w:sz w:val="24"/>
        </w:rPr>
        <w:t xml:space="preserve"> </w:t>
      </w:r>
      <w:r w:rsidR="00476D5E">
        <w:rPr>
          <w:rFonts w:ascii="Times New Roman" w:hAnsi="Times New Roman"/>
          <w:sz w:val="24"/>
        </w:rPr>
        <w:t xml:space="preserve">зависит от существительного </w:t>
      </w:r>
      <w:proofErr w:type="spellStart"/>
      <w:r w:rsidR="00476D5E">
        <w:rPr>
          <w:rFonts w:ascii="Times New Roman" w:hAnsi="Times New Roman"/>
          <w:sz w:val="24"/>
          <w:lang w:val="en-US"/>
        </w:rPr>
        <w:t>medicamenta</w:t>
      </w:r>
      <w:proofErr w:type="spellEnd"/>
      <w:r w:rsidR="00476D5E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используется для характеристики лекарственного средства с точки зрения цели его применения</w:t>
      </w:r>
      <w:r w:rsidR="00476D5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обоих примерах дательный падеж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– </w:t>
      </w:r>
      <w:proofErr w:type="spellStart"/>
      <w:r>
        <w:rPr>
          <w:rFonts w:ascii="Times New Roman" w:hAnsi="Times New Roman"/>
          <w:sz w:val="24"/>
        </w:rPr>
        <w:t>urinae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mouendae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 w:rsidR="00476D5E">
        <w:rPr>
          <w:rFonts w:ascii="Times New Roman" w:hAnsi="Times New Roman"/>
          <w:sz w:val="24"/>
          <w:lang w:val="en-US"/>
        </w:rPr>
        <w:t>puri</w:t>
      </w:r>
      <w:proofErr w:type="spellEnd"/>
      <w:r w:rsidR="00476D5E" w:rsidRPr="00476D5E">
        <w:rPr>
          <w:rFonts w:ascii="Times New Roman" w:hAnsi="Times New Roman"/>
          <w:sz w:val="24"/>
        </w:rPr>
        <w:t xml:space="preserve"> </w:t>
      </w:r>
      <w:proofErr w:type="spellStart"/>
      <w:r w:rsidR="00476D5E">
        <w:rPr>
          <w:rFonts w:ascii="Times New Roman" w:hAnsi="Times New Roman"/>
          <w:sz w:val="24"/>
          <w:lang w:val="en-US"/>
        </w:rPr>
        <w:t>mouendo</w:t>
      </w:r>
      <w:proofErr w:type="spellEnd"/>
      <w:r>
        <w:rPr>
          <w:rFonts w:ascii="Times New Roman" w:hAnsi="Times New Roman"/>
          <w:sz w:val="24"/>
        </w:rPr>
        <w:t xml:space="preserve"> – выражает цель применения лекарства, терапевтический эффект, достигаемый в результате использования того или иного лекарственного средства.</w:t>
      </w:r>
    </w:p>
    <w:p w14:paraId="7CD6BEF6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раз употребляемая в придаточном определительном предложении </w:t>
      </w:r>
      <w:proofErr w:type="spellStart"/>
      <w:r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используется не только для наименования разновидности лекарств, но и для выражения медицинского предписания:</w:t>
      </w:r>
    </w:p>
    <w:p w14:paraId="5568EF08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56C87">
        <w:rPr>
          <w:rFonts w:ascii="Times New Roman" w:hAnsi="Times New Roman"/>
          <w:sz w:val="24"/>
          <w:lang w:val="en-US"/>
        </w:rPr>
        <w:lastRenderedPageBreak/>
        <w:t>Aliud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eodem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nomine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, </w:t>
      </w:r>
      <w:r w:rsidRPr="00B56C87">
        <w:rPr>
          <w:rFonts w:ascii="Times New Roman" w:hAnsi="Times New Roman"/>
          <w:b/>
          <w:sz w:val="24"/>
          <w:lang w:val="en-US"/>
        </w:rPr>
        <w:t>quod</w:t>
      </w:r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sz w:val="24"/>
          <w:lang w:val="en-US"/>
        </w:rPr>
        <w:t>puri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quoque </w:t>
      </w:r>
      <w:proofErr w:type="spellStart"/>
      <w:r w:rsidRPr="00B56C87">
        <w:rPr>
          <w:rFonts w:ascii="Times New Roman" w:hAnsi="Times New Roman"/>
          <w:b/>
          <w:sz w:val="24"/>
          <w:lang w:val="en-US"/>
        </w:rPr>
        <w:t>mouendo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sz w:val="24"/>
          <w:lang w:val="en-US"/>
        </w:rPr>
        <w:t>est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B56C87">
        <w:rPr>
          <w:rFonts w:ascii="Times New Roman" w:hAnsi="Times New Roman"/>
          <w:sz w:val="24"/>
          <w:lang w:val="en-US"/>
        </w:rPr>
        <w:t>sebi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uitulini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B56C87">
        <w:rPr>
          <w:rFonts w:ascii="Times New Roman" w:hAnsi="Times New Roman"/>
          <w:sz w:val="24"/>
          <w:lang w:val="en-US"/>
        </w:rPr>
        <w:t>Hammoniaci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thymiamatis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… </w:t>
      </w:r>
      <w:r>
        <w:rPr>
          <w:rFonts w:ascii="Times New Roman" w:hAnsi="Times New Roman"/>
          <w:sz w:val="24"/>
        </w:rPr>
        <w:t>(V 19, 13)</w:t>
      </w:r>
    </w:p>
    <w:p w14:paraId="35A6F5ED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Здесь </w:t>
      </w:r>
      <w:proofErr w:type="spellStart"/>
      <w:r>
        <w:rPr>
          <w:rFonts w:ascii="Times New Roman" w:hAnsi="Times New Roman"/>
          <w:sz w:val="24"/>
        </w:rPr>
        <w:t>Цельс</w:t>
      </w:r>
      <w:proofErr w:type="spellEnd"/>
      <w:r>
        <w:rPr>
          <w:rFonts w:ascii="Times New Roman" w:hAnsi="Times New Roman"/>
          <w:sz w:val="24"/>
        </w:rPr>
        <w:t xml:space="preserve"> сообщает о пластыре, применяемом для вытягивания гноя. </w:t>
      </w:r>
      <w:proofErr w:type="gramStart"/>
      <w:r>
        <w:rPr>
          <w:rFonts w:ascii="Times New Roman" w:hAnsi="Times New Roman"/>
          <w:sz w:val="24"/>
        </w:rPr>
        <w:t>С помощью</w:t>
      </w:r>
      <w:proofErr w:type="gramEnd"/>
      <w:r>
        <w:rPr>
          <w:rFonts w:ascii="Times New Roman" w:hAnsi="Times New Roman"/>
          <w:sz w:val="24"/>
        </w:rPr>
        <w:t xml:space="preserve"> употребленной в данном случае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в форме дательного падежа </w:t>
      </w:r>
      <w:proofErr w:type="spellStart"/>
      <w:r>
        <w:rPr>
          <w:rFonts w:ascii="Times New Roman" w:hAnsi="Times New Roman"/>
          <w:sz w:val="24"/>
        </w:rPr>
        <w:t>puri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mouendo</w:t>
      </w:r>
      <w:proofErr w:type="spellEnd"/>
      <w:r>
        <w:rPr>
          <w:rFonts w:ascii="Times New Roman" w:hAnsi="Times New Roman"/>
          <w:sz w:val="24"/>
        </w:rPr>
        <w:t xml:space="preserve"> маркируется сфера употребления описываемого лекарства.</w:t>
      </w:r>
    </w:p>
    <w:p w14:paraId="61354DC7" w14:textId="7CE4AB55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Два раза </w:t>
      </w:r>
      <w:proofErr w:type="spellStart"/>
      <w:r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в дательном падеже используется при именах прилагательных </w:t>
      </w:r>
      <w:proofErr w:type="spellStart"/>
      <w:r>
        <w:rPr>
          <w:rFonts w:ascii="Times New Roman" w:hAnsi="Times New Roman"/>
          <w:sz w:val="24"/>
        </w:rPr>
        <w:t>aptus</w:t>
      </w:r>
      <w:proofErr w:type="spellEnd"/>
      <w:r>
        <w:rPr>
          <w:rFonts w:ascii="Times New Roman" w:hAnsi="Times New Roman"/>
          <w:sz w:val="24"/>
        </w:rPr>
        <w:t xml:space="preserve"> ‘пригодный, подходящий’ и </w:t>
      </w:r>
      <w:proofErr w:type="spellStart"/>
      <w:r>
        <w:rPr>
          <w:rFonts w:ascii="Times New Roman" w:hAnsi="Times New Roman"/>
          <w:sz w:val="24"/>
        </w:rPr>
        <w:t>idoneus</w:t>
      </w:r>
      <w:proofErr w:type="spellEnd"/>
      <w:r>
        <w:rPr>
          <w:rFonts w:ascii="Times New Roman" w:hAnsi="Times New Roman"/>
          <w:sz w:val="24"/>
        </w:rPr>
        <w:t xml:space="preserve"> ‘удобный, пригодный’, при которых косвенное дополнение может выражаться </w:t>
      </w:r>
      <w:r w:rsidR="00432DF7">
        <w:rPr>
          <w:rFonts w:ascii="Times New Roman" w:hAnsi="Times New Roman"/>
          <w:sz w:val="24"/>
        </w:rPr>
        <w:t xml:space="preserve">либо </w:t>
      </w:r>
      <w:r>
        <w:rPr>
          <w:rFonts w:ascii="Times New Roman" w:hAnsi="Times New Roman"/>
          <w:sz w:val="24"/>
        </w:rPr>
        <w:t xml:space="preserve">формой винительного падежа с предлогом </w:t>
      </w:r>
      <w:proofErr w:type="spellStart"/>
      <w:r>
        <w:rPr>
          <w:rFonts w:ascii="Times New Roman" w:hAnsi="Times New Roman"/>
          <w:sz w:val="24"/>
        </w:rPr>
        <w:t>ad</w:t>
      </w:r>
      <w:proofErr w:type="spellEnd"/>
      <w:r w:rsidR="00432DF7">
        <w:rPr>
          <w:rFonts w:ascii="Times New Roman" w:hAnsi="Times New Roman"/>
          <w:sz w:val="24"/>
        </w:rPr>
        <w:t>, либо</w:t>
      </w:r>
      <w:r>
        <w:rPr>
          <w:rFonts w:ascii="Times New Roman" w:hAnsi="Times New Roman"/>
          <w:sz w:val="24"/>
        </w:rPr>
        <w:t xml:space="preserve"> дательным падежом.</w:t>
      </w:r>
    </w:p>
    <w:p w14:paraId="54F5AC79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B56C87">
        <w:rPr>
          <w:rFonts w:ascii="Times New Roman" w:hAnsi="Times New Roman"/>
          <w:sz w:val="24"/>
          <w:lang w:val="en-US"/>
        </w:rPr>
        <w:t xml:space="preserve">… </w:t>
      </w:r>
      <w:proofErr w:type="spellStart"/>
      <w:r w:rsidRPr="00B56C87">
        <w:rPr>
          <w:rFonts w:ascii="Times New Roman" w:hAnsi="Times New Roman"/>
          <w:sz w:val="24"/>
          <w:lang w:val="en-US"/>
        </w:rPr>
        <w:t>cibi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potionesque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corpori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faciundo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aptae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… </w:t>
      </w:r>
      <w:r>
        <w:rPr>
          <w:rFonts w:ascii="Times New Roman" w:hAnsi="Times New Roman"/>
          <w:sz w:val="24"/>
        </w:rPr>
        <w:t>(VII 3, 4)</w:t>
      </w:r>
    </w:p>
    <w:p w14:paraId="6FE68E59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Idoneaque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etiam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strumae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aperiendae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sunt. </w:t>
      </w:r>
      <w:r>
        <w:rPr>
          <w:rFonts w:ascii="Times New Roman" w:hAnsi="Times New Roman"/>
          <w:sz w:val="24"/>
        </w:rPr>
        <w:t>(V 18, 25)</w:t>
      </w:r>
    </w:p>
    <w:p w14:paraId="7AEFD7DA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Один раз дательный падеж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используется при </w:t>
      </w:r>
      <w:proofErr w:type="spellStart"/>
      <w:r>
        <w:rPr>
          <w:rFonts w:ascii="Times New Roman" w:hAnsi="Times New Roman"/>
          <w:sz w:val="24"/>
        </w:rPr>
        <w:t>participium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perfecti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passiui</w:t>
      </w:r>
      <w:proofErr w:type="spellEnd"/>
      <w:r>
        <w:rPr>
          <w:rFonts w:ascii="Times New Roman" w:hAnsi="Times New Roman"/>
          <w:sz w:val="24"/>
        </w:rPr>
        <w:t>:</w:t>
      </w:r>
    </w:p>
    <w:p w14:paraId="5E38B935" w14:textId="77777777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B56C87">
        <w:rPr>
          <w:rFonts w:ascii="Times New Roman" w:hAnsi="Times New Roman"/>
          <w:sz w:val="24"/>
          <w:lang w:val="en-US"/>
        </w:rPr>
        <w:t>…</w:t>
      </w:r>
      <w:proofErr w:type="spellStart"/>
      <w:r w:rsidRPr="00B56C87">
        <w:rPr>
          <w:rFonts w:ascii="Times New Roman" w:hAnsi="Times New Roman"/>
          <w:sz w:val="24"/>
          <w:lang w:val="en-US"/>
        </w:rPr>
        <w:t>diutius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in </w:t>
      </w:r>
      <w:proofErr w:type="spellStart"/>
      <w:r w:rsidRPr="00B56C87">
        <w:rPr>
          <w:rFonts w:ascii="Times New Roman" w:hAnsi="Times New Roman"/>
          <w:sz w:val="24"/>
          <w:lang w:val="en-US"/>
        </w:rPr>
        <w:t>lectulo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perseuerandum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est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, ne is talus, qui </w:t>
      </w:r>
      <w:proofErr w:type="spellStart"/>
      <w:r w:rsidRPr="00B56C87">
        <w:rPr>
          <w:rFonts w:ascii="Times New Roman" w:hAnsi="Times New Roman"/>
          <w:sz w:val="24"/>
          <w:lang w:val="en-US"/>
        </w:rPr>
        <w:t>totum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corpus </w:t>
      </w:r>
      <w:proofErr w:type="spellStart"/>
      <w:r w:rsidRPr="00B56C87">
        <w:rPr>
          <w:rFonts w:ascii="Times New Roman" w:hAnsi="Times New Roman"/>
          <w:sz w:val="24"/>
          <w:lang w:val="en-US"/>
        </w:rPr>
        <w:t>sustinet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B56C87">
        <w:rPr>
          <w:rFonts w:ascii="Times New Roman" w:hAnsi="Times New Roman"/>
          <w:sz w:val="24"/>
          <w:lang w:val="en-US"/>
        </w:rPr>
        <w:t>parum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confirmatis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neruis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ferendo</w:t>
      </w:r>
      <w:proofErr w:type="spellEnd"/>
      <w:r w:rsidRPr="00B56C87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b/>
          <w:bCs/>
          <w:sz w:val="24"/>
          <w:lang w:val="en-US"/>
        </w:rPr>
        <w:t>oneri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B56C87">
        <w:rPr>
          <w:rFonts w:ascii="Times New Roman" w:hAnsi="Times New Roman"/>
          <w:sz w:val="24"/>
          <w:lang w:val="en-US"/>
        </w:rPr>
        <w:t>cedat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rursusque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prorumpat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>(VIII 22, 2)</w:t>
      </w:r>
    </w:p>
    <w:p w14:paraId="41261F90" w14:textId="1B4A4B9D" w:rsidR="000E1C85" w:rsidRDefault="00006191" w:rsidP="00C911F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Здесь говорится о необходимости соблюдения больным постельного режима после вправления лодыжки. </w:t>
      </w:r>
      <w:proofErr w:type="spellStart"/>
      <w:r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</w:t>
      </w:r>
      <w:proofErr w:type="spellStart"/>
      <w:r>
        <w:rPr>
          <w:rFonts w:ascii="Times New Roman" w:hAnsi="Times New Roman"/>
          <w:sz w:val="24"/>
        </w:rPr>
        <w:t>ferendo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oneri</w:t>
      </w:r>
      <w:proofErr w:type="spellEnd"/>
      <w:r>
        <w:rPr>
          <w:rFonts w:ascii="Times New Roman" w:hAnsi="Times New Roman"/>
          <w:sz w:val="24"/>
        </w:rPr>
        <w:t xml:space="preserve"> зависит от причастия </w:t>
      </w:r>
      <w:proofErr w:type="spellStart"/>
      <w:r>
        <w:rPr>
          <w:rFonts w:ascii="Times New Roman" w:hAnsi="Times New Roman"/>
          <w:sz w:val="24"/>
        </w:rPr>
        <w:t>confirmatis</w:t>
      </w:r>
      <w:proofErr w:type="spellEnd"/>
      <w:r>
        <w:rPr>
          <w:rFonts w:ascii="Times New Roman" w:hAnsi="Times New Roman"/>
          <w:sz w:val="24"/>
        </w:rPr>
        <w:t xml:space="preserve">, употребленного в обороте </w:t>
      </w:r>
      <w:proofErr w:type="spellStart"/>
      <w:r>
        <w:rPr>
          <w:rFonts w:ascii="Times New Roman" w:hAnsi="Times New Roman"/>
          <w:sz w:val="24"/>
        </w:rPr>
        <w:t>ablatiuus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absolutus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432DF7">
        <w:rPr>
          <w:rFonts w:ascii="Times New Roman" w:hAnsi="Times New Roman"/>
          <w:i/>
          <w:iCs/>
          <w:sz w:val="24"/>
        </w:rPr>
        <w:t>neruis</w:t>
      </w:r>
      <w:proofErr w:type="spellEnd"/>
      <w:r w:rsidRPr="00432DF7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432DF7">
        <w:rPr>
          <w:rFonts w:ascii="Times New Roman" w:hAnsi="Times New Roman"/>
          <w:i/>
          <w:iCs/>
          <w:sz w:val="24"/>
        </w:rPr>
        <w:t>confirmatis</w:t>
      </w:r>
      <w:proofErr w:type="spellEnd"/>
      <w:r>
        <w:rPr>
          <w:rFonts w:ascii="Times New Roman" w:hAnsi="Times New Roman"/>
          <w:sz w:val="24"/>
        </w:rPr>
        <w:t xml:space="preserve">; и в интересующем нас контексте речь идет о сухожилиях, не окрепших в достаточной степени, чтобы удерживать вес тела. В этом примере дательный падеж </w:t>
      </w:r>
      <w:proofErr w:type="spellStart"/>
      <w:r>
        <w:rPr>
          <w:rFonts w:ascii="Times New Roman" w:hAnsi="Times New Roman"/>
          <w:sz w:val="24"/>
        </w:rPr>
        <w:t>герундивной</w:t>
      </w:r>
      <w:proofErr w:type="spellEnd"/>
      <w:r>
        <w:rPr>
          <w:rFonts w:ascii="Times New Roman" w:hAnsi="Times New Roman"/>
          <w:sz w:val="24"/>
        </w:rPr>
        <w:t xml:space="preserve"> конструкции выражает цель, ради которой сухожилия пациента должны окрепнуть. С точки зрения синтаксиса данная форма используется в качестве обстоятельства</w:t>
      </w:r>
      <w:r w:rsidR="00B56C87">
        <w:rPr>
          <w:rFonts w:ascii="Times New Roman" w:hAnsi="Times New Roman"/>
          <w:sz w:val="24"/>
        </w:rPr>
        <w:t>.</w:t>
      </w:r>
    </w:p>
    <w:p w14:paraId="68F9914E" w14:textId="57C71B0A" w:rsidR="000E1C85" w:rsidRPr="003E370E" w:rsidRDefault="00006191" w:rsidP="00432DF7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</w:t>
      </w:r>
      <w:proofErr w:type="spellStart"/>
      <w:r>
        <w:rPr>
          <w:rFonts w:ascii="Times New Roman" w:hAnsi="Times New Roman"/>
          <w:sz w:val="24"/>
        </w:rPr>
        <w:t>герундивная</w:t>
      </w:r>
      <w:proofErr w:type="spellEnd"/>
      <w:r>
        <w:rPr>
          <w:rFonts w:ascii="Times New Roman" w:hAnsi="Times New Roman"/>
          <w:sz w:val="24"/>
        </w:rPr>
        <w:t xml:space="preserve"> конструкция в форме дательного падежа в большинстве случаев выражает цель. Чаще всего эта конструкция используется в фармакологических контекстах либо для наименования типа лекарства, либо для характеристики лекарственного средства посредством </w:t>
      </w:r>
      <w:r w:rsidR="00B56C87">
        <w:rPr>
          <w:rFonts w:ascii="Times New Roman" w:hAnsi="Times New Roman"/>
          <w:sz w:val="24"/>
        </w:rPr>
        <w:t>указания эффекта</w:t>
      </w:r>
      <w:r>
        <w:rPr>
          <w:rFonts w:ascii="Times New Roman" w:hAnsi="Times New Roman"/>
          <w:sz w:val="24"/>
        </w:rPr>
        <w:t>, получаемого в результате применения этого лекарства.</w:t>
      </w:r>
      <w:r w:rsidRPr="00B56C87">
        <w:rPr>
          <w:rFonts w:ascii="Times New Roman" w:hAnsi="Times New Roman"/>
          <w:sz w:val="24"/>
        </w:rPr>
        <w:t xml:space="preserve"> В таких контекстах </w:t>
      </w:r>
      <w:proofErr w:type="spellStart"/>
      <w:r w:rsidRPr="00B56C87">
        <w:rPr>
          <w:rFonts w:ascii="Times New Roman" w:hAnsi="Times New Roman"/>
          <w:sz w:val="24"/>
        </w:rPr>
        <w:t>герундивная</w:t>
      </w:r>
      <w:proofErr w:type="spellEnd"/>
      <w:r w:rsidRPr="00B56C87">
        <w:rPr>
          <w:rFonts w:ascii="Times New Roman" w:hAnsi="Times New Roman"/>
          <w:sz w:val="24"/>
        </w:rPr>
        <w:t xml:space="preserve"> конструкция используется с глаголом </w:t>
      </w:r>
      <w:proofErr w:type="spellStart"/>
      <w:r>
        <w:rPr>
          <w:rFonts w:ascii="Times New Roman" w:hAnsi="Times New Roman"/>
          <w:sz w:val="24"/>
          <w:lang w:val="en-US"/>
        </w:rPr>
        <w:t>esse</w:t>
      </w:r>
      <w:proofErr w:type="spellEnd"/>
      <w:r w:rsidRPr="00B56C87">
        <w:rPr>
          <w:rFonts w:ascii="Times New Roman" w:hAnsi="Times New Roman"/>
          <w:sz w:val="24"/>
        </w:rPr>
        <w:t xml:space="preserve"> в качестве именной части составного сказуемого. </w:t>
      </w:r>
      <w:r w:rsidR="003E370E">
        <w:rPr>
          <w:rFonts w:ascii="Times New Roman" w:hAnsi="Times New Roman"/>
          <w:sz w:val="24"/>
        </w:rPr>
        <w:t xml:space="preserve">Дательный падеж </w:t>
      </w:r>
      <w:proofErr w:type="spellStart"/>
      <w:r w:rsidRPr="00B56C87">
        <w:rPr>
          <w:rFonts w:ascii="Times New Roman" w:hAnsi="Times New Roman"/>
          <w:sz w:val="24"/>
        </w:rPr>
        <w:t>герундивной</w:t>
      </w:r>
      <w:proofErr w:type="spellEnd"/>
      <w:r w:rsidRPr="00B56C87">
        <w:rPr>
          <w:rFonts w:ascii="Times New Roman" w:hAnsi="Times New Roman"/>
          <w:sz w:val="24"/>
        </w:rPr>
        <w:t xml:space="preserve"> конструкции в тексте трактата </w:t>
      </w:r>
      <w:proofErr w:type="spellStart"/>
      <w:r w:rsidRPr="00B56C87">
        <w:rPr>
          <w:rFonts w:ascii="Times New Roman" w:hAnsi="Times New Roman"/>
          <w:sz w:val="24"/>
        </w:rPr>
        <w:t>Цельса</w:t>
      </w:r>
      <w:proofErr w:type="spellEnd"/>
      <w:r w:rsidRPr="00B56C87">
        <w:rPr>
          <w:rFonts w:ascii="Times New Roman" w:hAnsi="Times New Roman"/>
          <w:sz w:val="24"/>
        </w:rPr>
        <w:t xml:space="preserve"> может употребляться </w:t>
      </w:r>
      <w:r w:rsidR="003E370E">
        <w:rPr>
          <w:rFonts w:ascii="Times New Roman" w:hAnsi="Times New Roman"/>
          <w:sz w:val="24"/>
        </w:rPr>
        <w:t xml:space="preserve">и </w:t>
      </w:r>
      <w:r w:rsidRPr="00B56C87">
        <w:rPr>
          <w:rFonts w:ascii="Times New Roman" w:hAnsi="Times New Roman"/>
          <w:sz w:val="24"/>
        </w:rPr>
        <w:t xml:space="preserve">как косвенное дополнение при прилагательных </w:t>
      </w:r>
      <w:proofErr w:type="spellStart"/>
      <w:r>
        <w:rPr>
          <w:rFonts w:ascii="Times New Roman" w:hAnsi="Times New Roman"/>
          <w:sz w:val="24"/>
          <w:lang w:val="en-US"/>
        </w:rPr>
        <w:t>aptus</w:t>
      </w:r>
      <w:proofErr w:type="spellEnd"/>
      <w:r w:rsidRPr="00B56C87"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  <w:lang w:val="en-US"/>
        </w:rPr>
        <w:t>idoneus</w:t>
      </w:r>
      <w:proofErr w:type="spellEnd"/>
      <w:r w:rsidRPr="00B56C87">
        <w:rPr>
          <w:rFonts w:ascii="Times New Roman" w:hAnsi="Times New Roman"/>
          <w:sz w:val="24"/>
        </w:rPr>
        <w:t>.</w:t>
      </w:r>
      <w:r w:rsidR="003E370E" w:rsidRPr="003E370E">
        <w:rPr>
          <w:rFonts w:ascii="Times New Roman" w:hAnsi="Times New Roman"/>
          <w:sz w:val="24"/>
        </w:rPr>
        <w:t xml:space="preserve"> </w:t>
      </w:r>
      <w:r w:rsidR="003E370E">
        <w:rPr>
          <w:rFonts w:ascii="Times New Roman" w:hAnsi="Times New Roman"/>
          <w:sz w:val="24"/>
        </w:rPr>
        <w:t xml:space="preserve">Кроме того, рассматриваемая нами грамматическая форма в фармакологическом контексте может служить способом выражения медицинского предписания, хотя для этих целей </w:t>
      </w:r>
      <w:proofErr w:type="spellStart"/>
      <w:r w:rsidR="003E370E">
        <w:rPr>
          <w:rFonts w:ascii="Times New Roman" w:hAnsi="Times New Roman"/>
          <w:sz w:val="24"/>
        </w:rPr>
        <w:t>Цельс</w:t>
      </w:r>
      <w:proofErr w:type="spellEnd"/>
      <w:r w:rsidR="003E370E">
        <w:rPr>
          <w:rFonts w:ascii="Times New Roman" w:hAnsi="Times New Roman"/>
          <w:sz w:val="24"/>
        </w:rPr>
        <w:t xml:space="preserve">, как правило, использует винительный падеж герундия или </w:t>
      </w:r>
      <w:proofErr w:type="spellStart"/>
      <w:r w:rsidR="003E370E">
        <w:rPr>
          <w:rFonts w:ascii="Times New Roman" w:hAnsi="Times New Roman"/>
          <w:sz w:val="24"/>
        </w:rPr>
        <w:t>герундивной</w:t>
      </w:r>
      <w:proofErr w:type="spellEnd"/>
      <w:r w:rsidR="003E370E">
        <w:rPr>
          <w:rFonts w:ascii="Times New Roman" w:hAnsi="Times New Roman"/>
          <w:sz w:val="24"/>
        </w:rPr>
        <w:t xml:space="preserve"> конструкции.</w:t>
      </w:r>
    </w:p>
    <w:p w14:paraId="4BF3193B" w14:textId="77777777" w:rsidR="00432DF7" w:rsidRDefault="00006191" w:rsidP="00432DF7">
      <w:pPr>
        <w:pStyle w:val="a3"/>
        <w:spacing w:after="120" w:line="240" w:lineRule="auto"/>
        <w:ind w:left="1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  <w:r w:rsidR="00432DF7" w:rsidRPr="00432DF7">
        <w:rPr>
          <w:rFonts w:ascii="Times New Roman" w:hAnsi="Times New Roman"/>
          <w:sz w:val="24"/>
        </w:rPr>
        <w:t xml:space="preserve"> </w:t>
      </w:r>
    </w:p>
    <w:p w14:paraId="49484124" w14:textId="6ABCFABF" w:rsidR="000E1C85" w:rsidRPr="00432DF7" w:rsidRDefault="00432DF7" w:rsidP="00432DF7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AC62C4">
        <w:rPr>
          <w:rFonts w:ascii="Times New Roman" w:hAnsi="Times New Roman"/>
          <w:sz w:val="24"/>
        </w:rPr>
        <w:t>Соболевский, С. И. Грамматика латинского языка. Теоретическая часть: Морфология и синтаксис. СПб.</w:t>
      </w:r>
      <w:r w:rsidRPr="00432DF7">
        <w:rPr>
          <w:rFonts w:ascii="Times New Roman" w:hAnsi="Times New Roman"/>
          <w:sz w:val="24"/>
        </w:rPr>
        <w:t xml:space="preserve"> </w:t>
      </w:r>
      <w:r w:rsidRPr="00AC62C4">
        <w:rPr>
          <w:rFonts w:ascii="Times New Roman" w:hAnsi="Times New Roman"/>
          <w:sz w:val="24"/>
        </w:rPr>
        <w:t>2009</w:t>
      </w:r>
      <w:r>
        <w:rPr>
          <w:rFonts w:ascii="Times New Roman" w:hAnsi="Times New Roman"/>
          <w:sz w:val="24"/>
          <w:lang w:val="en-US"/>
        </w:rPr>
        <w:t>.</w:t>
      </w:r>
    </w:p>
    <w:p w14:paraId="224FFB89" w14:textId="77777777" w:rsidR="00432DF7" w:rsidRPr="00432DF7" w:rsidRDefault="00432DF7" w:rsidP="00C911F4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B56C87">
        <w:rPr>
          <w:rFonts w:ascii="Times New Roman" w:hAnsi="Times New Roman"/>
          <w:sz w:val="24"/>
          <w:lang w:val="en-US"/>
        </w:rPr>
        <w:t>Cornelii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Celsi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quae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B56C87">
        <w:rPr>
          <w:rFonts w:ascii="Times New Roman" w:hAnsi="Times New Roman"/>
          <w:sz w:val="24"/>
          <w:lang w:val="en-US"/>
        </w:rPr>
        <w:t>supersunt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/ Ed. F. Marx. </w:t>
      </w:r>
      <w:r w:rsidRPr="00432DF7">
        <w:rPr>
          <w:rFonts w:ascii="Times New Roman" w:hAnsi="Times New Roman"/>
          <w:sz w:val="24"/>
          <w:lang w:val="en-US"/>
        </w:rPr>
        <w:t>Leipzig, 1915.</w:t>
      </w:r>
    </w:p>
    <w:p w14:paraId="71717A94" w14:textId="77777777" w:rsidR="00432DF7" w:rsidRPr="00432DF7" w:rsidRDefault="00432DF7" w:rsidP="00C911F4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bookmarkStart w:id="1" w:name="_Hlk159015701"/>
      <w:proofErr w:type="spellStart"/>
      <w:r w:rsidRPr="00AC62C4">
        <w:rPr>
          <w:rFonts w:ascii="Times New Roman" w:hAnsi="Times New Roman"/>
          <w:sz w:val="24"/>
          <w:lang w:val="en-US"/>
        </w:rPr>
        <w:t>Ernout</w:t>
      </w:r>
      <w:proofErr w:type="spellEnd"/>
      <w:r w:rsidRPr="00AC62C4">
        <w:rPr>
          <w:rFonts w:ascii="Times New Roman" w:hAnsi="Times New Roman"/>
          <w:sz w:val="24"/>
          <w:lang w:val="en-US"/>
        </w:rPr>
        <w:t>, A., Thomas, F.</w:t>
      </w:r>
      <w:bookmarkEnd w:id="1"/>
      <w:r w:rsidRPr="00AC62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C62C4">
        <w:rPr>
          <w:rFonts w:ascii="Times New Roman" w:hAnsi="Times New Roman"/>
          <w:sz w:val="24"/>
          <w:lang w:val="en-US"/>
        </w:rPr>
        <w:t>Syntaxe</w:t>
      </w:r>
      <w:proofErr w:type="spellEnd"/>
      <w:r w:rsidRPr="00AC62C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AC62C4">
        <w:rPr>
          <w:rFonts w:ascii="Times New Roman" w:hAnsi="Times New Roman"/>
          <w:sz w:val="24"/>
          <w:lang w:val="en-US"/>
        </w:rPr>
        <w:t>latine</w:t>
      </w:r>
      <w:proofErr w:type="spellEnd"/>
      <w:r w:rsidRPr="00AC62C4">
        <w:rPr>
          <w:rFonts w:ascii="Times New Roman" w:hAnsi="Times New Roman"/>
          <w:sz w:val="24"/>
          <w:lang w:val="en-US"/>
        </w:rPr>
        <w:t xml:space="preserve">. </w:t>
      </w:r>
      <w:r w:rsidRPr="00432DF7">
        <w:rPr>
          <w:rFonts w:ascii="Times New Roman" w:hAnsi="Times New Roman"/>
          <w:sz w:val="24"/>
          <w:lang w:val="en-US"/>
        </w:rPr>
        <w:t>Paris</w:t>
      </w:r>
      <w:r>
        <w:rPr>
          <w:rFonts w:ascii="Times New Roman" w:hAnsi="Times New Roman"/>
          <w:sz w:val="24"/>
          <w:lang w:val="en-US"/>
        </w:rPr>
        <w:t>.</w:t>
      </w:r>
      <w:r w:rsidRPr="00AC62C4">
        <w:rPr>
          <w:rFonts w:ascii="Times New Roman" w:hAnsi="Times New Roman"/>
          <w:sz w:val="24"/>
          <w:lang w:val="en-US"/>
        </w:rPr>
        <w:t xml:space="preserve"> 1964</w:t>
      </w:r>
      <w:r>
        <w:rPr>
          <w:rFonts w:ascii="Times New Roman" w:hAnsi="Times New Roman"/>
          <w:sz w:val="24"/>
          <w:lang w:val="en-US"/>
        </w:rPr>
        <w:t>.</w:t>
      </w:r>
    </w:p>
    <w:p w14:paraId="2978685E" w14:textId="77777777" w:rsidR="00432DF7" w:rsidRPr="00432DF7" w:rsidRDefault="00432DF7" w:rsidP="00C911F4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B56C87">
        <w:rPr>
          <w:rFonts w:ascii="Times New Roman" w:hAnsi="Times New Roman"/>
          <w:sz w:val="24"/>
          <w:lang w:val="en-US"/>
        </w:rPr>
        <w:t>Langslow</w:t>
      </w:r>
      <w:proofErr w:type="spellEnd"/>
      <w:r w:rsidRPr="00B56C87">
        <w:rPr>
          <w:rFonts w:ascii="Times New Roman" w:hAnsi="Times New Roman"/>
          <w:sz w:val="24"/>
          <w:lang w:val="en-US"/>
        </w:rPr>
        <w:t xml:space="preserve"> D. R. Medical Latin in the Roman Empire. </w:t>
      </w:r>
      <w:r w:rsidRPr="00432DF7">
        <w:rPr>
          <w:rFonts w:ascii="Times New Roman" w:hAnsi="Times New Roman"/>
          <w:sz w:val="24"/>
          <w:lang w:val="en-US"/>
        </w:rPr>
        <w:t>Oxford, 2000.</w:t>
      </w:r>
    </w:p>
    <w:p w14:paraId="5402CB92" w14:textId="6F3AFFD2" w:rsidR="00432DF7" w:rsidRPr="00432DF7" w:rsidRDefault="00432DF7" w:rsidP="00432DF7">
      <w:pPr>
        <w:pStyle w:val="a3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Woodcock E. C. A New Latin Syntax</w:t>
      </w:r>
      <w:r w:rsidRPr="00C911F4">
        <w:rPr>
          <w:rFonts w:ascii="Times New Roman" w:hAnsi="Times New Roman"/>
          <w:sz w:val="24"/>
          <w:lang w:val="en-US"/>
        </w:rPr>
        <w:t xml:space="preserve">. </w:t>
      </w:r>
      <w:r w:rsidRPr="00C911F4">
        <w:rPr>
          <w:rFonts w:ascii="Times New Roman" w:hAnsi="Times New Roman"/>
          <w:color w:val="000030"/>
          <w:sz w:val="24"/>
          <w:szCs w:val="24"/>
          <w:shd w:val="clear" w:color="auto" w:fill="FFFFFF"/>
          <w:lang w:val="en-US"/>
        </w:rPr>
        <w:t xml:space="preserve">Cambridge: Harvard University Press. </w:t>
      </w:r>
      <w:r>
        <w:rPr>
          <w:rFonts w:ascii="Times New Roman" w:hAnsi="Times New Roman"/>
          <w:color w:val="000030"/>
          <w:sz w:val="24"/>
          <w:szCs w:val="24"/>
          <w:shd w:val="clear" w:color="auto" w:fill="FFFFFF"/>
        </w:rPr>
        <w:t>1959.</w:t>
      </w:r>
    </w:p>
    <w:sectPr w:rsidR="00432DF7" w:rsidRPr="00432DF7" w:rsidSect="00C911F4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851E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85"/>
    <w:rsid w:val="00006191"/>
    <w:rsid w:val="000E1C85"/>
    <w:rsid w:val="003E370E"/>
    <w:rsid w:val="00432DF7"/>
    <w:rsid w:val="00476D5E"/>
    <w:rsid w:val="00AC62C4"/>
    <w:rsid w:val="00B56C87"/>
    <w:rsid w:val="00C911F4"/>
    <w:rsid w:val="00F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5FD4"/>
  <w15:docId w15:val="{8F447B00-3CCF-4621-94DE-3FE0399B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d470e83-4db7-494d-85f9-65b7d4f0a608"/>
    <w:qFormat/>
    <w:pPr>
      <w:spacing w:after="160" w:line="264" w:lineRule="auto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d470e83-4db7-494d-85f9-65b7d4f0a608">
    <w:name w:val="Normal_cd470e83-4db7-494d-85f9-65b7d4f0a608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Normalcd470e83-4db7-494d-85f9-65b7d4f0a608"/>
    <w:link w:val="a3"/>
    <w:rPr>
      <w:rFonts w:ascii="Calibri" w:hAnsi="Calibr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yperlink1cfa58f3-a16f-4b5f-9e93-546c89477b6a">
    <w:name w:val="Hyperlink_1cfa58f3-a16f-4b5f-9e93-546c89477b6a"/>
    <w:link w:val="a5"/>
    <w:rPr>
      <w:color w:val="0000FF"/>
      <w:u w:val="single"/>
    </w:rPr>
  </w:style>
  <w:style w:type="character" w:styleId="a5">
    <w:name w:val="Hyperlink"/>
    <w:link w:val="Hyperlink1cfa58f3-a16f-4b5f-9e93-546c89477b6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1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efaultParagraphFontc21e3793-300d-43bd-862a-af90fe91bf94">
    <w:name w:val="Default Paragraph Font_c21e3793-300d-43bd-862a-af90fe91b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F4EF-75E2-413E-A888-DFCC403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Alina Alekseyeva</cp:lastModifiedBy>
  <cp:revision>2</cp:revision>
  <dcterms:created xsi:type="dcterms:W3CDTF">2024-02-16T19:54:00Z</dcterms:created>
  <dcterms:modified xsi:type="dcterms:W3CDTF">2024-02-16T19:54:00Z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50e4b9a1fac6462ebc1829fd88168ade</vt:lpwstr>
  </property>
</Properties>
</file>