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 оформления образа Тибета в русской картине мира (на основе употребления слова «Тибет» в НКРЯ)</w:t>
      </w:r>
    </w:p>
    <w:p>
      <w:pPr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Ло Сюе</w:t>
      </w:r>
    </w:p>
    <w:p>
      <w:pPr>
        <w:ind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аспирант 3-го года обучения</w:t>
      </w:r>
    </w:p>
    <w:p>
      <w:pPr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 имени М.В. Ломоносова</w:t>
      </w:r>
    </w:p>
    <w:p>
      <w:pPr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Национальный корпус русского языка (НКРЯ) является хорошим источником словоупотреблений и одновременно инструментом для ее анализа. Мы использовали основной корпус НКРЯ для анализа употребления слова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Тибет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18 века по сегодняшний день. Количество словоупотреблений показывает три так называемых «пика», приходящихся на 1740– 2000г.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пик употребления слова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Тибет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конец 19-ого века. В конце 19-ого века Тибет является неизвестным для русских регионом. Оформлению образа Тибета помогает текстовая информация, исходящая из научных и торговых экспедиций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Большинство слов, сочетающихся со словом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Тибет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задают вектор движения в новую для россиян страну. Например,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контекстах частотны такие глаголы, как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идти, пойти, сходить, двинуться, отправиться, махнуть, ехать, проехать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Первоначальный план заключался в том, чтобы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сходить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на Лоб-нор, обследовать, насколько возможно, это озеро и его окрестности, а затем вернуться в Кульджу, сдать здесь собранные коллекции и, забрав остальные запасы, двинуться в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Тибет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[Н. М. Пржевальский. От Кульджи за Тянь-Шань и на Лоб-Нор (1870)]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Через Лоб-нор в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Тибет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нельзя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итти: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1) нет верблюдов, 2) дурная дорога, 3) нет проводников, 4) не хватит сил вновь испытать все гадости.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[Н. М. Пржевальский. От Кульджи за Тянь-Шань и на Лоб-Нор (1870)]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Будем лечиться, а затем в половине февраля опять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махнём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Тибет.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[Н. М. Пржевальский. Путь по Джунгарии (Из полевого дневника) (1877)]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Богдыхан велел его арестовать, но Кутухта ушел из-под ареста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отправился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в Тибет.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[М. А. Лялина. Путешествия H. М. Пржевальского в восточной и центральной Азии (1891)].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то же время Тибет является загадочным, малоизвестным: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Мы идем исследовать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неведомый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Тибет, сделать его достоянием науки.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[Н. М. Пржевальский. От Кяхты на истоки Желтой реки (1884-1885)].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пик словоупотребления приходится на 1926 г. В это время знание русских людей о Тибете стало более глубоким в аспектах религии и туризма, описание Тибета становится более детальным. Появляются подробные описания географического положения Тибета, например, в Географическом дневнике Тибетской экспедиции П. К. Козлов использует прилагательные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далёкий, дикий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описания Тибета, упоминаются ущелья, реки, водопады и другие приметы местности: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Подобно Н. М. Пржевальскому, я восхищаюсь Гань-су, но более того можно восхищаться дивной красотой ущелий с гремучими, быстрыми речками, их водопадами, их лужайками, лесом, под сенью которого разгуливают белые ушастые фазаны, зеленые всэре, куланы, где раздаются голоса всевозможных небольших и мелких птиц — это все Восточный Тибет, или Кам, о котором, как равно и о Сычуане, всегда мечтал мой незабвенный учитель, глубоко любивший и глубоко понимавший красоту и жизнь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дикой, девственной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природы Центральной Азии и далекого Тибета.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[П. К. Козлов. Географический дневник Тибетской экспедиции 1923-1926 гг. №4 (1925-1926)]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Он лучше всех знает не только нашу Монголию, но и Западный Китай, Восточный Туркестан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далекий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Тибет.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[П. К. Козлов. Географический дневник Тибетской экспедиции 1923-1926 гг. №5 (1926)]</w:t>
      </w:r>
    </w:p>
    <w:p>
      <w:pPr>
        <w:pStyle w:val="2"/>
        <w:keepNext w:val="0"/>
        <w:keepLines w:val="0"/>
        <w:pageBreakBefore w:val="0"/>
        <w:widowControl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 время третьего пика словоупотребления (2009г.) 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непрерывным развитием и популяризацией тибетской культуры в России всё больше внимания уделяется описанию образа Тибета, и работ, посвященных Тибету, рекламы тибетских клиник, текстов тревел-блогов о Тибете становится всё больше. Например,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онимание Тибета как страны, где может открыться высшая истина, можно увидеть в тексте по таким выражениями, как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высшая правда, сладострастная неизвестность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Кумир и покровитель Абиха — Блюмкин, страшный человек, любовник революции, еретик, исполненный брутальной похоти и самозванства — наравне с яростным стремленьем к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высшей правде, сладострастная неизвестность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которой привела его и на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Тибет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и к исмаэлитам, и в Палестину…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[Александр Иличевский. Перс (2009)]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Кроме того, в текстах обнаруживается упоминание о политике, так как в это время в Тибет отправляется особая миссия, об этом свидетельствуют существительные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миссия, министры, армия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Только после этого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миссия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пошла дальше через Тибет и Уйгурию в Россию.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[Владимир Полеванов. За убегающим горизонтом шамбалы // «Наука и жизнь», 2009]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О том, какие сведения добыла эта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миссия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 можно судить по заголовкам отчёта Хомутникова в НКВД: «Далай-лама и его настроения», «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министры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далай-ламы», «Тибет и Англия», «Тибет и Китай», «Тибетская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армия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» и так далее.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[Владимир Полеванов. За убегающим горизонтом шамбалы // «Наука и жизнь», 2009]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Таким образом, три пика употребления слова </w:t>
      </w:r>
      <w:r>
        <w:rPr>
          <w:rFonts w:ascii="Times New Roman" w:hAnsi="Times New Roman" w:eastAsia="Times New Roman"/>
          <w:i/>
          <w:iCs/>
          <w:sz w:val="24"/>
          <w:szCs w:val="24"/>
          <w:lang w:val="ru-RU"/>
        </w:rPr>
        <w:t>Тибет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показывают развитие образа Тибета в русской языковой картине мира. С</w:t>
      </w:r>
      <w:r>
        <w:rPr>
          <w:rFonts w:ascii="Times New Roman" w:hAnsi="Times New Roman"/>
          <w:sz w:val="24"/>
          <w:szCs w:val="24"/>
          <w:lang w:val="ru-RU"/>
        </w:rPr>
        <w:t xml:space="preserve">огласно трём пикам употребления слова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Тибет</w:t>
      </w:r>
      <w:r>
        <w:rPr>
          <w:rFonts w:ascii="Times New Roman" w:hAnsi="Times New Roman"/>
          <w:sz w:val="24"/>
          <w:szCs w:val="24"/>
          <w:lang w:val="ru-RU"/>
        </w:rPr>
        <w:t xml:space="preserve"> в национальном корпусе русского языка можно выделить три характерных образа Тибета: загадочный, мистический и реалистичный.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Изменение образа Тибета отражает развитие знаний русского человека о Тибете.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2"/>
        <w:widowControl/>
        <w:spacing w:beforeAutospacing="0" w:afterAutospacing="0"/>
        <w:ind w:firstLine="4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Список литературы</w:t>
      </w:r>
    </w:p>
    <w:p>
      <w:pPr>
        <w:numPr>
          <w:ilvl w:val="0"/>
          <w:numId w:val="1"/>
        </w:numPr>
        <w:ind w:left="0" w:firstLine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 Иличевский. Перс, 2009.</w:t>
      </w:r>
    </w:p>
    <w:p>
      <w:pPr>
        <w:numPr>
          <w:ilvl w:val="0"/>
          <w:numId w:val="1"/>
        </w:numPr>
        <w:ind w:left="0" w:firstLine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Владимир Полеванов. За убегающим горизонтом шамбалы // «Наука и жизнь», 2009.</w:t>
      </w:r>
    </w:p>
    <w:p>
      <w:pPr>
        <w:numPr>
          <w:ilvl w:val="0"/>
          <w:numId w:val="1"/>
        </w:numPr>
        <w:ind w:left="0" w:firstLine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Лялина.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А. Путешествия H. М. Пржевальского в восточной и центральной Азии, 1891.</w:t>
      </w:r>
    </w:p>
    <w:p>
      <w:pPr>
        <w:pStyle w:val="2"/>
        <w:widowControl/>
        <w:numPr>
          <w:ilvl w:val="0"/>
          <w:numId w:val="1"/>
        </w:numPr>
        <w:spacing w:beforeAutospacing="0" w:afterAutospacing="0"/>
        <w:ind w:left="0" w:firstLine="4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Пржевальский.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 М. Путь по Джунгарии (Из полевого дневника), 1877.</w:t>
      </w:r>
    </w:p>
    <w:p>
      <w:pPr>
        <w:pStyle w:val="2"/>
        <w:widowControl/>
        <w:numPr>
          <w:ilvl w:val="0"/>
          <w:numId w:val="1"/>
        </w:numPr>
        <w:spacing w:beforeAutospacing="0" w:afterAutospacing="0"/>
        <w:ind w:left="0" w:firstLine="4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Пржевальский.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 М.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Кульджи за Тянь-Шань и на Лоб-Нор, 1870.</w:t>
      </w:r>
    </w:p>
    <w:p>
      <w:pPr>
        <w:pStyle w:val="2"/>
        <w:widowControl/>
        <w:numPr>
          <w:ilvl w:val="0"/>
          <w:numId w:val="1"/>
        </w:numPr>
        <w:spacing w:beforeAutospacing="0" w:afterAutospacing="0"/>
        <w:ind w:left="0" w:firstLine="4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Пржевальский.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 М.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От Кяхты на истоки Желтой реки (1884-1885)</w:t>
      </w:r>
    </w:p>
    <w:p>
      <w:pPr>
        <w:numPr>
          <w:ilvl w:val="0"/>
          <w:numId w:val="1"/>
        </w:numPr>
        <w:ind w:left="0" w:firstLine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Козлов.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К. Географический дневник Тибетской экспедиции 1923-1926 гг. №4, 1925-1926.</w:t>
      </w:r>
    </w:p>
    <w:p>
      <w:pPr>
        <w:numPr>
          <w:ilvl w:val="0"/>
          <w:numId w:val="1"/>
        </w:numPr>
        <w:ind w:left="0" w:firstLine="420"/>
        <w:jc w:val="left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корпус русского языка: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ru-RU"/>
        </w:rPr>
        <w:t>https://ruscorpora.ru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B4A5"/>
    <w:multiLevelType w:val="singleLevel"/>
    <w:tmpl w:val="FFF6B4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A2F7"/>
    <w:rsid w:val="00176256"/>
    <w:rsid w:val="00327289"/>
    <w:rsid w:val="00810A7A"/>
    <w:rsid w:val="008A5A94"/>
    <w:rsid w:val="0093708C"/>
    <w:rsid w:val="009A2E99"/>
    <w:rsid w:val="00A0453F"/>
    <w:rsid w:val="1FEF490D"/>
    <w:rsid w:val="2D4F623F"/>
    <w:rsid w:val="46FF471F"/>
    <w:rsid w:val="5EE7A79D"/>
    <w:rsid w:val="66F4A2F7"/>
    <w:rsid w:val="7B7EC878"/>
    <w:rsid w:val="EFA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4824</Characters>
  <Lines>98</Lines>
  <Paragraphs>31</Paragraphs>
  <TotalTime>0</TotalTime>
  <ScaleCrop>false</ScaleCrop>
  <LinksUpToDate>false</LinksUpToDate>
  <CharactersWithSpaces>5581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2024-02-17T10:05:00Z</dcterms:created>
  <dc:creator>采蘑菇滴小菇凉</dc:creator>
  <cp:lastModifiedBy>采蘑菇滴小菇凉</cp:lastModifiedBy>
  <dcterms:modified xsi:type="dcterms:W3CDTF">2024-02-17T02:29:53Z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20A7B687855101D18633CF65FA05B767_41</vt:lpwstr>
  </property>
</Properties>
</file>