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/>
        <w:jc w:val="center"/>
        <w:spacing w:after="0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Змей-любовник и змей-противник: разные аспекты одной архетипической мифологемы</w:t>
      </w:r>
    </w:p>
    <w:p>
      <w:pPr>
        <w:ind w:leftChars="0" w:left="0"/>
        <w:jc w:val="center"/>
        <w:spacing w:after="0" w:line="240"/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Полковникова Ксения Олеговна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Аспирант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филологического факультета Московского государственного университета имени М. В. Ломоносова</w:t>
      </w:r>
    </w:p>
    <w:p>
      <w:pPr>
        <w:ind w:leftChars="0" w:left="0"/>
        <w:jc w:val="center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В нашем докладе мы рассмотрим сказочные и былинные сюжеты, в которых антагонист, чаще всего змей, выступает в качестве </w:t>
      </w: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>противника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для героя и вместе с тем </w:t>
      </w: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>любовника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для героини. Об образе «змея-соблазнителя», типичного для сюжета «Звериное молоко», пишет Н. В. Новиков </w:t>
      </w:r>
      <w:r>
        <w:rPr>
          <w:rFonts w:ascii="Times New Roman" w:eastAsia="Times New Roman" w:hAnsi="Times New Roman"/>
          <w:sz w:val="24"/>
          <w:szCs w:val="24"/>
        </w:rPr>
        <w:t>[Новиков 1974: 189]</w:t>
      </w:r>
      <w:r>
        <w:rPr>
          <w:rFonts w:ascii="Times New Roman" w:eastAsia="Times New Roman" w:hAnsi="Times New Roman"/>
          <w:sz w:val="24"/>
          <w:szCs w:val="24"/>
          <w:rtl w:val="off"/>
        </w:rPr>
        <w:t>, разбирая образы змея, выделенные В. Я. Проппом.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И, действительно, этот тип антагониста характерен для таких сказочных сюжетов как СУС 315 «Звериное молоко» и СУС 318 «Неверная жена», где змей обольщает сестру, жену или мать главного героя, делает своей соучастницей и подговаривает извести героя, задавая ему невыполнимые задачи. В финале герой убивает змея, а предательница наказывается.</w:t>
      </w: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 былинных сюжетах № 16 «Добрыня Никитич и Маринка» [Азбелев 1982: 286] и № 20 «Алёша Попович и Тугарин» [Азбелев 1982: 287] мы также видим подобное распределение ролей. Добрыня поражает стрелой змея, любовника Маринки и своего противника, или высмеивает его, вынуждая сбежать. В свою очередь Алёша хитростью побеждает чудовищного богатыря Тугарина Змеевича, который после первого поединка является на пир, насмехается над Алёшей и бесцеремонно любезничает с княгиней. В обоих случаях реакция Маринки или княгини Апраксевны на убийство или изгнание «милого дружка» одинаковая: «</w:t>
      </w: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>Деревеншина ты, засельшина! Не дал посидеть другу милому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» [Кирша Данилов 1977: 104]. </w:t>
      </w: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Не менее важен для нашего исследования гендерный аспект, о нём следует упомянуть отдельно. В былинах змеиной природой обладают и фактически отождествляются со змеем ведьма Маринка и, в некоторых вариантах, Авдотья Лиховидьевна, жена Михайло Потыка, т. е. борьба с ними ― всё то же змееборство. Однако если мы рассмотрим сюжет № 15 «Добрыня Никитич и Змей» [Азбелев 1982: 285], то обнаружим, что и здесь возникает женский образ, т. к. сам змей-противник может представать в женской ипостаси. Это отражается в его наименовании ― </w:t>
      </w:r>
      <w:r>
        <w:rPr>
          <w:rFonts w:ascii="Times New Roman" w:eastAsia="Times New Roman" w:hAnsi="Times New Roman"/>
          <w:sz w:val="24"/>
          <w:szCs w:val="24"/>
          <w:rtl w:val="off"/>
        </w:rPr>
        <w:t>например, «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баба Горынища» ― и сразу переводит повествование в эротический план. По мнению Т. А. Бернштам, «</w:t>
      </w:r>
      <w:r>
        <w:rPr>
          <w:rFonts w:ascii="Times New Roman" w:eastAsia="Times New Roman" w:hAnsi="Times New Roman" w:hint="default"/>
          <w:sz w:val="24"/>
          <w:szCs w:val="24"/>
        </w:rPr>
        <w:t>герой мог вступить в любовную связь с противником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[Бернштам 2011: </w:t>
      </w:r>
      <w:r>
        <w:rPr>
          <w:rFonts w:ascii="Times New Roman" w:eastAsia="Times New Roman" w:hAnsi="Times New Roman"/>
          <w:sz w:val="24"/>
          <w:szCs w:val="24"/>
          <w:rtl w:val="off"/>
        </w:rPr>
        <w:t>254</w:t>
      </w:r>
      <w:r>
        <w:rPr>
          <w:rFonts w:ascii="Times New Roman" w:eastAsia="Times New Roman" w:hAnsi="Times New Roman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, поскольку на его готовность к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«любовному поединку» 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указывают многочисленные атрибуты, обладающие брачной символикой, чем и пользуется змеиха. Интересно замечание, что в былинной традиции змеиха-противница сравнивается с «заклятой невестой» </w:t>
      </w:r>
      <w:r>
        <w:rPr>
          <w:rFonts w:ascii="Times New Roman" w:eastAsia="Times New Roman" w:hAnsi="Times New Roman"/>
          <w:sz w:val="24"/>
          <w:szCs w:val="24"/>
        </w:rPr>
        <w:t xml:space="preserve">[Бернштам 2011: </w:t>
      </w:r>
      <w:r>
        <w:rPr>
          <w:rFonts w:ascii="Times New Roman" w:eastAsia="Times New Roman" w:hAnsi="Times New Roman"/>
          <w:sz w:val="24"/>
          <w:szCs w:val="24"/>
          <w:rtl w:val="off"/>
        </w:rPr>
        <w:t>252</w:t>
      </w:r>
      <w:r>
        <w:rPr>
          <w:rFonts w:ascii="Times New Roman" w:eastAsia="Times New Roman" w:hAnsi="Times New Roman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  <w:rtl w:val="off"/>
        </w:rPr>
        <w:t>, и победа над ней снимает заклятие: противница героя становится его любовницей.</w:t>
      </w: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Итак, можно предположить, что в упомянутых сказочных и былинных сюжетах образы змея-противника и змея-любовника смешиваются, дополняют друг друга, особенно в том случае, если мы имеем дело с женской ипостасью змея ― змеихой, вступающей в любовный поединок с героем.</w:t>
      </w: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>Литература</w:t>
      </w:r>
      <w:r>
        <w:rPr>
          <w:rFonts w:ascii="Times New Roman" w:eastAsia="Times New Roman" w:hAnsi="Times New Roman"/>
          <w:sz w:val="24"/>
          <w:szCs w:val="24"/>
          <w:rtl w:val="off"/>
        </w:rPr>
        <w:t>:</w:t>
      </w:r>
    </w:p>
    <w:p>
      <w:pPr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rtl w:val="off"/>
        </w:rPr>
      </w:pP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rtl w:val="off"/>
        </w:rPr>
        <w:t xml:space="preserve">Азбелев С. Н. Историзм былин и специфика фольклора. Л.: Наука.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Ленингр. отд-ние,</w:t>
      </w:r>
      <w:r>
        <w:rPr>
          <w:rFonts w:ascii="Times New Roman" w:eastAsia="Times New Roman" w:hAnsi="Times New Roman"/>
          <w:color w:val="000000"/>
          <w:sz w:val="24"/>
          <w:szCs w:val="24"/>
          <w:rtl w:val="off"/>
        </w:rPr>
        <w:t xml:space="preserve"> 1982.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Бернштам Т. А. Герой и его женщины: образы предков в мифологии восточных славян. СПб.: МАЭ РАН, 2011.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Древние российские стихотворения, собранные Киршею Даниловым / Издание подготовили А. П. Евгеньева, Б. Н. Путилов. М., 1977.</w:t>
      </w:r>
    </w:p>
    <w:p>
      <w:pPr>
        <w:spacing w:line="240"/>
        <w:rPr>
          <w:rFonts w:ascii="Times New Roman" w:eastAsia="Times New Roman" w:hAnsi="Times New Roman"/>
          <w:i w:val="0"/>
          <w:color w:val="000000"/>
          <w:sz w:val="24"/>
          <w:szCs w:val="24"/>
          <w:rtl w:val="off"/>
        </w:rPr>
      </w:pPr>
    </w:p>
    <w:p>
      <w:pPr>
        <w:pStyle w:val="af3"/>
        <w:ind w:leftChars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</w:rPr>
        <w:t>Новиков Н. В.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Образы восточнославянской волшебной сказки / АН СССР. Ин-т этнографии им. Н. Н. Миклухо-Маклая. Ин-т рус. лит. (Пушкин. Дом). Л.: Наука. Ленингр. отд-ние, 1974.</w:t>
      </w:r>
    </w:p>
    <w:p>
      <w:pPr>
        <w:ind w:leftChars="0" w:left="0" w:hanging="0" w:firstLineChars="304" w:firstLine="709"/>
        <w:jc w:val="both"/>
        <w:spacing w:after="0" w:line="240"/>
        <w:rPr>
          <w:rFonts w:ascii="Times New Roman" w:eastAsia="Times New Roman" w:hAnsi="Times New Roman" w:hint="default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dfdff2c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2024-02-15T19:00:43Z</dcterms:created>
  <dcterms:modified xsi:type="dcterms:W3CDTF">2024-02-16T20:17:34Z</dcterms:modified>
  <cp:version>0900.0000.01</cp:version>
</cp:coreProperties>
</file>