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БРЭ и Викиданные с точки зрения онтологической структуры</w:t>
      </w:r>
    </w:p>
    <w:p>
      <w:pPr>
        <w:spacing w:before="240" w:after="24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Панич Мария Борисовна, Садковский Ф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eastAsia="Times New Roman" w:cs="Times New Roman"/>
          <w:sz w:val="24"/>
          <w:szCs w:val="24"/>
        </w:rPr>
        <w:t>дор Алексеевич</w:t>
      </w:r>
    </w:p>
    <w:p>
      <w:pPr>
        <w:spacing w:before="240" w:after="24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Студенты МГУ имени М.В. Ломоносова, Москва, Россия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Задача разработки искусственного интеллекта в настоящее время требует создания систем с четкой структуризацией знаний, которые были бы легкодоступны как пользователям, так и алгоритмам машинного обучения. На достижение этой цели направлено создание системы «Ковчег знаний», проектируемой специалистами МГУ. Она представляет собой хранилище знаний разных научных областей. Вместе с тем качество и достоверность собираемых знаний позволяют использовать систему как «инкубатор» текстов статей Большой Российской Энциклопедии (БРЭ). Структуризация знания в проекте достигается за счет разрабатываемой онтологической системы [Семенов и др. 2023: 233–234].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Создаваемая онтология должна учитывать основные понятия Стратегии научно-технического развития Российской Федерации, Программы развития МГУ имени М.В. Ломоносова, понятия, используемые для структуризации научной деятельности в системе наукометрических данных МГУ "Истина", в существующих рубрикаторах и онтологиях научной деятельности (ГРНТИ и др.), системах категорий научных энциклопедий и т.п.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Кроме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того, онтология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должна быть лингвистически ориентирована, поскольку энциклопедические знания, которые она призвана систематизировать, по большей части представляют собой текст на естественном языке. Принципы и методы построения такой онтологии можно найти в работах С. Ниренбурга и В. Раскина [Nirenburg, Raskin 2004: 192–228]. Онтология должна отвечать следующим требованиям: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240" w:lineRule="auto"/>
        <w:ind w:left="505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однозначность понятий;</w:t>
      </w:r>
    </w:p>
    <w:p>
      <w:pPr>
        <w:numPr>
          <w:ilvl w:val="0"/>
          <w:numId w:val="1"/>
        </w:numPr>
        <w:spacing w:line="240" w:lineRule="auto"/>
        <w:ind w:left="505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строгие определения и отсутствие омонимии;</w:t>
      </w:r>
    </w:p>
    <w:p>
      <w:pPr>
        <w:numPr>
          <w:ilvl w:val="0"/>
          <w:numId w:val="1"/>
        </w:numPr>
        <w:spacing w:line="240" w:lineRule="auto"/>
        <w:ind w:left="505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задание области определения и области значений для отношений;</w:t>
      </w:r>
    </w:p>
    <w:p>
      <w:pPr>
        <w:numPr>
          <w:ilvl w:val="0"/>
          <w:numId w:val="1"/>
        </w:numPr>
        <w:spacing w:line="240" w:lineRule="auto"/>
        <w:ind w:left="505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правильность логического вывода на основе системных онтологических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отношений.</w:t>
      </w:r>
    </w:p>
    <w:p>
      <w:pPr>
        <w:spacing w:line="240" w:lineRule="auto"/>
        <w:ind w:left="72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Поскольку база понятий создается не с нуля, а с опорой на содержание БРЭ, нужно прежде всего изучить, насколько устройство энциклопедии на данный момент далеко от приведенных выше онтологических принципов. Кроме того, с формальной и идеологической точки зрения система «Ковчег знаний» во многом опирается на принципы Википедии, одним из проектов которой является онтология Викиданные: при условии соблюдения важных для нас принципов она могла бы лечь в основу онтологии для БРЭ [Семенов и др. 2024].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новой версии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БРЭ </w:t>
      </w:r>
      <w:r>
        <w:rPr>
          <w:rFonts w:ascii="Times New Roman" w:hAnsi="Times New Roman" w:eastAsia="Times New Roman" w:cs="Times New Roman"/>
          <w:sz w:val="24"/>
          <w:szCs w:val="24"/>
        </w:rPr>
        <w:t>(https://bigenc.ru) заметно стремление к онтологической организации содержания. Однако, на наш взгляд, используемый формат далек от идеальной понятийной структуры. БРЭ включает три подсистемы организации понятий: «категории», «термины» и «тэги». При этом категории малочисленны и лишены иерархической структуры, а термины чаще всего дублируют область знания, к которой независимо приписана каждая статья. Перемещение между категориям и терминами невозможно. Система тэгов устроена эффективнее с точки зрения навигации, но не лишена иных недостатков: тэги не универсальны, как и принципы их выделения и приписывания к каждой статье – наблюдаются непоследовательности даже в рамках одной категории. Например, статье «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сознание</w:t>
      </w:r>
      <w:r>
        <w:rPr>
          <w:rFonts w:ascii="Times New Roman" w:hAnsi="Times New Roman" w:eastAsia="Times New Roman" w:cs="Times New Roman"/>
          <w:sz w:val="24"/>
          <w:szCs w:val="24"/>
        </w:rPr>
        <w:t>» приписан следующий ряд тэгов: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#Психические процессы            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(1)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#Психические состояния           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(2)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#Психологические концепции  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(3)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#Психологические термины      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(4)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Последний тэг как маркер другого семантического отношения можно найти в статье «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когнитивная психология</w:t>
      </w:r>
      <w:r>
        <w:rPr>
          <w:rFonts w:ascii="Times New Roman" w:hAnsi="Times New Roman" w:eastAsia="Times New Roman" w:cs="Times New Roman"/>
          <w:sz w:val="24"/>
          <w:szCs w:val="24"/>
        </w:rPr>
        <w:t>», где список тэгов такой: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#Психологические дисциплины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(5) – надкласс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#Психологические концепции  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(6) – часть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#Психологические термины      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(7) – часть, но ниже по уровню, чем (6)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Из этого примера видно, что один и тот же тэг может в разных случаях неэксплицитно отражать разные семантические отношения. Кроме того, ни один из тэгов (5-6) выше не соответствует какому-либо понятию из энциклопедии (т.е. статье). Тэги дополнительно разбивают категории, что, с одной стороны, является их достоинством, поскольку это создает иерархию классов внутри категории, но с другой, они могут и дублировать их или области знания, что избыточно. Таким образом, опираясь на структуру понятий в БРЭ, реализовать привед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eastAsia="Times New Roman" w:cs="Times New Roman"/>
          <w:sz w:val="24"/>
          <w:szCs w:val="24"/>
        </w:rPr>
        <w:t>ннные выше требования к онтологическим системам будет крайне непросто.</w:t>
      </w:r>
    </w:p>
    <w:p>
      <w:pPr>
        <w:spacing w:line="240" w:lineRule="auto"/>
        <w:ind w:left="72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Викиданные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ближе к «идеальной» онтологии: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>элементы там связываются классическими онтологическими отношениями (</w:t>
      </w:r>
      <w:r>
        <w:rPr>
          <w:rFonts w:ascii="Times New Roman" w:hAnsi="Times New Roman" w:eastAsia="Times New Roman" w:cs="Times New Roman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>класс-подкласс</w:t>
      </w:r>
      <w:r>
        <w:rPr>
          <w:rFonts w:ascii="Times New Roman" w:hAnsi="Times New Roman" w:eastAsia="Times New Roman" w:cs="Times New Roman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>экземпля</w:t>
      </w:r>
      <w:r>
        <w:rPr>
          <w:rFonts w:ascii="Times New Roman" w:hAnsi="Times New Roman" w:eastAsia="Times New Roman" w:cs="Times New Roman"/>
          <w:sz w:val="24"/>
          <w:szCs w:val="24"/>
        </w:rPr>
        <w:t>р»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 xml:space="preserve"> и др.) и набором новых, работающих по схожему принципу (они называются свойствами (properties)); для описания используются понятия транзитивности, симметричности и т.п. И вс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lang w:val="ru-RU"/>
        </w:rPr>
        <w:t>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 xml:space="preserve"> же можно выделить некоторые критические недостатки. В их числе: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</w:pPr>
    </w:p>
    <w:p>
      <w:pPr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</w:rPr>
        <w:t>Проблемы с омонимией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 xml:space="preserve">. Например,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последовательности вложенных друг в друга подклассов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память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информация </w:t>
      </w:r>
      <w:r>
        <w:rPr>
          <w:rFonts w:ascii="Times New Roman" w:hAnsi="Times New Roman" w:eastAsia="Times New Roman" w:cs="Times New Roman"/>
          <w:sz w:val="24"/>
          <w:szCs w:val="24"/>
        </w:rPr>
        <w:t>игнорируется очевидная многозначность всех тр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eastAsia="Times New Roman" w:cs="Times New Roman"/>
          <w:sz w:val="24"/>
          <w:szCs w:val="24"/>
        </w:rPr>
        <w:t>х терминов, хотя для многих комбинаций возможных значений такой ряд будет не будет соответствовать действительности.</w:t>
      </w:r>
    </w:p>
    <w:p>
      <w:pPr>
        <w:spacing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Недоопредел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нность обратных функций</w:t>
      </w:r>
      <w:r>
        <w:rPr>
          <w:rFonts w:ascii="Times New Roman" w:hAnsi="Times New Roman" w:eastAsia="Times New Roman" w:cs="Times New Roman"/>
          <w:sz w:val="24"/>
          <w:szCs w:val="24"/>
        </w:rPr>
        <w:t>. В правилах работы со свойствами в Викиданных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(https://www.wikidata.org/wiki/Help:Properties)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сказано, что при связывании сущностей одн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 из таких отношений (например,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родитель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 второе (например,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реб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е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нок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 нужно добавить вручную, но на практике этого часто не происходит: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знание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«подкласс от»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памяти,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но у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памяти </w:t>
      </w:r>
      <w:r>
        <w:rPr>
          <w:rFonts w:ascii="Times New Roman" w:hAnsi="Times New Roman" w:eastAsia="Times New Roman" w:cs="Times New Roman"/>
          <w:sz w:val="24"/>
          <w:szCs w:val="24"/>
        </w:rPr>
        <w:t>свойства «иметь подкласс» просто нет.</w:t>
      </w:r>
    </w:p>
    <w:p>
      <w:pPr>
        <w:spacing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numPr>
          <w:ilvl w:val="0"/>
          <w:numId w:val="2"/>
        </w:numPr>
        <w:spacing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Смешение слов и обозначаемых ими понятий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Например, к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знанию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Викиданных привязан аудиофайл произнесения слова «знание» на маратхи, а к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информации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соответствующий жест французского жестового языка. 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Тем не менее, если устройство БРЭ не соответствует целям создания онтологии «Ковчега знаний», то Викиданные при уч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eastAsia="Times New Roman" w:cs="Times New Roman"/>
          <w:sz w:val="24"/>
          <w:szCs w:val="24"/>
        </w:rPr>
        <w:t>те выявленных недостатков вполне могут послужить стартовой платформой для дальнейшей работы.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Исследование выполнено при финансовой поддержке Междисциплинарной научно-образовательной школы Московского университета “Математические методы анализа сложных систем” (грант № 23-Ш05-11)  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ind w:firstLine="709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Литература</w:t>
      </w:r>
    </w:p>
    <w:p>
      <w:pPr>
        <w:spacing w:before="240" w:after="24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Семенов А.Л.,  Гришин И.Ю., Тимиргалеева Р.Р., Бубнов А.С.. Портал «Ковчег знаний» на основе современных технологий онтологического моделирования // Дистанционные образовательные технологии : сборник трудов VIII Международной научно-практической конференции, Ялта, 19–21 сентября 2023 года. 2023. С.233-235.</w:t>
      </w:r>
    </w:p>
    <w:p>
      <w:pPr>
        <w:spacing w:before="240" w:after="24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Семенов А.Л., Гришин И.Ю., Кобозева И.М., Панич М.Б., Раевский Е.Н., Садковский Ф.А., Ф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eastAsia="Times New Roman" w:cs="Times New Roman"/>
          <w:sz w:val="24"/>
          <w:szCs w:val="24"/>
        </w:rPr>
        <w:t>дорова О.В. Онтология как фундамент формализации энциклопедической деятельности и извлечения новых знаний // Журнал «Информационное общество». 2024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(в печати)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Nirenburg S., Raskin V. Ontological semantics. </w:t>
      </w:r>
      <w:r>
        <w:rPr>
          <w:rFonts w:ascii="Times New Roman" w:hAnsi="Times New Roman" w:eastAsia="Times New Roman" w:cs="Times New Roman"/>
          <w:sz w:val="24"/>
          <w:szCs w:val="24"/>
        </w:rPr>
        <w:t>Cambridge MA, 2004.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Научно-образовательный портал «Большая российская энциклопедия»: </w:t>
      </w:r>
      <w:r>
        <w:fldChar w:fldCharType="begin"/>
      </w:r>
      <w:r>
        <w:instrText xml:space="preserve"> HYPERLINK "https://bigenc.ru/"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t>https://bigenc.ru/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fldChar w:fldCharType="end"/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Правила работы со свойствами в Викиданных: </w:t>
      </w:r>
      <w:r>
        <w:fldChar w:fldCharType="begin"/>
      </w:r>
      <w:r>
        <w:instrText xml:space="preserve"> HYPERLINK "https://www.wikidata.org/wiki/Help:Properties"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t>https://www.wikidata.org/wiki/Help:Properties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9" w:h="16834"/>
      <w:pgMar w:top="1134" w:right="1418" w:bottom="1134" w:left="1418" w:header="720" w:footer="720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877B72"/>
    <w:multiLevelType w:val="multilevel"/>
    <w:tmpl w:val="16877B72"/>
    <w:lvl w:ilvl="0" w:tentative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">
    <w:nsid w:val="43AD79A2"/>
    <w:multiLevelType w:val="multilevel"/>
    <w:tmpl w:val="43AD79A2"/>
    <w:lvl w:ilvl="0" w:tentative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D7"/>
    <w:rsid w:val="00337AD7"/>
    <w:rsid w:val="00C924D5"/>
    <w:rsid w:val="00D90775"/>
    <w:rsid w:val="099425DC"/>
    <w:rsid w:val="20C04B80"/>
    <w:rsid w:val="3A39464E"/>
    <w:rsid w:val="41765DA5"/>
    <w:rsid w:val="55537708"/>
    <w:rsid w:val="6D19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57" w:name="toc 1"/>
    <w:lsdException w:uiPriority="57" w:name="toc 2"/>
    <w:lsdException w:uiPriority="57" w:name="toc 3"/>
    <w:lsdException w:uiPriority="57" w:name="toc 4"/>
    <w:lsdException w:uiPriority="57" w:name="toc 5"/>
    <w:lsdException w:uiPriority="57" w:name="toc 6"/>
    <w:lsdException w:uiPriority="57" w:name="toc 7"/>
    <w:lsdException w:uiPriority="57" w:name="toc 8"/>
    <w:lsdException w:uiPriority="57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53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34" w:semiHidden="0" w:name="Strong"/>
    <w:lsdException w:qFormat="1" w:unhideWhenUsed="0" w:uiPriority="32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89" w:semiHidden="0" w:name="Table Grid"/>
    <w:lsdException w:uiPriority="99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8"/>
    <w:unhideWhenUsed/>
    <w:qFormat/>
    <w:uiPriority w:val="99"/>
    <w:rPr>
      <w:vertAlign w:val="superscript"/>
    </w:rPr>
  </w:style>
  <w:style w:type="paragraph" w:styleId="11">
    <w:name w:val="footnote text"/>
    <w:basedOn w:val="1"/>
    <w:link w:val="16"/>
    <w:unhideWhenUsed/>
    <w:qFormat/>
    <w:uiPriority w:val="99"/>
    <w:pPr>
      <w:snapToGrid w:val="0"/>
    </w:pPr>
  </w:style>
  <w:style w:type="paragraph" w:styleId="12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3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Обычная таблица1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Текст сноски Знак"/>
    <w:basedOn w:val="8"/>
    <w:link w:val="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5696</Characters>
  <Lines>47</Lines>
  <Paragraphs>13</Paragraphs>
  <TotalTime>63</TotalTime>
  <ScaleCrop>false</ScaleCrop>
  <LinksUpToDate>false</LinksUpToDate>
  <CharactersWithSpaces>6682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2024-02-12T12:53:00Z</dcterms:created>
  <dcterms:modified xsi:type="dcterms:W3CDTF">2024-02-16T06:52:14Z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64B0CB6463ED4F8FB4044D71B413872D_13</vt:lpwstr>
  </property>
</Properties>
</file>