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7EEA7" w14:textId="00C2CEAB" w:rsidR="00A7717D" w:rsidRDefault="00A7717D" w:rsidP="00A7717D">
      <w:pPr>
        <w:ind w:firstLine="0"/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A7717D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 xml:space="preserve">Сравнение контекстов употребления исп. </w:t>
      </w:r>
      <w:proofErr w:type="spellStart"/>
      <w:r w:rsidRPr="00A7717D">
        <w:rPr>
          <w:rFonts w:ascii="Times New Roman" w:eastAsiaTheme="majorEastAsia" w:hAnsi="Times New Roman" w:cs="Times New Roman"/>
          <w:b/>
          <w:bCs/>
          <w:i/>
          <w:iCs/>
          <w:spacing w:val="-10"/>
          <w:kern w:val="28"/>
          <w:sz w:val="24"/>
          <w:szCs w:val="24"/>
        </w:rPr>
        <w:t>por</w:t>
      </w:r>
      <w:proofErr w:type="spellEnd"/>
      <w:r w:rsidRPr="00A7717D">
        <w:rPr>
          <w:rFonts w:ascii="Times New Roman" w:eastAsiaTheme="majorEastAsia" w:hAnsi="Times New Roman" w:cs="Times New Roman"/>
          <w:b/>
          <w:bCs/>
          <w:i/>
          <w:iCs/>
          <w:spacing w:val="-10"/>
          <w:kern w:val="28"/>
          <w:sz w:val="24"/>
          <w:szCs w:val="24"/>
        </w:rPr>
        <w:t xml:space="preserve"> </w:t>
      </w:r>
      <w:r w:rsidR="00030448" w:rsidRPr="00A7717D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и</w:t>
      </w:r>
      <w:r w:rsidR="00030448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 </w:t>
      </w:r>
      <w:proofErr w:type="spellStart"/>
      <w:r w:rsidRPr="00A7717D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гуар</w:t>
      </w:r>
      <w:proofErr w:type="spellEnd"/>
      <w:r w:rsidRPr="00A7717D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 xml:space="preserve">. </w:t>
      </w:r>
      <w:proofErr w:type="spellStart"/>
      <w:r w:rsidRPr="00A7717D">
        <w:rPr>
          <w:rFonts w:ascii="Times New Roman" w:eastAsiaTheme="majorEastAsia" w:hAnsi="Times New Roman" w:cs="Times New Roman"/>
          <w:b/>
          <w:bCs/>
          <w:i/>
          <w:iCs/>
          <w:spacing w:val="-10"/>
          <w:kern w:val="28"/>
          <w:sz w:val="24"/>
          <w:szCs w:val="24"/>
        </w:rPr>
        <w:t>rehe</w:t>
      </w:r>
      <w:proofErr w:type="spellEnd"/>
      <w:r w:rsidRPr="00A7717D">
        <w:rPr>
          <w:rFonts w:ascii="Times New Roman" w:eastAsiaTheme="majorEastAsia" w:hAnsi="Times New Roman" w:cs="Times New Roman"/>
          <w:b/>
          <w:bCs/>
          <w:i/>
          <w:iCs/>
          <w:spacing w:val="-10"/>
          <w:kern w:val="28"/>
          <w:sz w:val="24"/>
          <w:szCs w:val="24"/>
        </w:rPr>
        <w:t xml:space="preserve"> </w:t>
      </w:r>
      <w:r w:rsidRPr="00A7717D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на корпусном материале</w:t>
      </w:r>
    </w:p>
    <w:p w14:paraId="1D28B819" w14:textId="715A194B" w:rsidR="00A7717D" w:rsidRPr="00A7717D" w:rsidRDefault="00A7717D" w:rsidP="00A7717D">
      <w:pPr>
        <w:ind w:firstLine="0"/>
        <w:jc w:val="center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proofErr w:type="spellStart"/>
      <w:r w:rsidRPr="00A7717D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Клоченко</w:t>
      </w:r>
      <w:proofErr w:type="spellEnd"/>
      <w:r w:rsidRPr="00A7717D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, Максим Андреевич</w:t>
      </w:r>
    </w:p>
    <w:p w14:paraId="67B25B1B" w14:textId="6EB79219" w:rsidR="00A7717D" w:rsidRPr="00A7717D" w:rsidRDefault="00A7717D" w:rsidP="00A7717D">
      <w:pPr>
        <w:ind w:firstLine="0"/>
        <w:jc w:val="center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A7717D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студент Санкт-Петербургского государственного университета, Санкт-Петербург, Россия</w:t>
      </w:r>
    </w:p>
    <w:p w14:paraId="42BE2556" w14:textId="77777777" w:rsidR="00A7717D" w:rsidRPr="00A7717D" w:rsidRDefault="00A7717D" w:rsidP="00A771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AB3C3F" w14:textId="330B8EAB" w:rsidR="00A7717D" w:rsidRPr="00A7717D" w:rsidRDefault="00A7717D" w:rsidP="00A7717D">
      <w:pPr>
        <w:rPr>
          <w:rFonts w:ascii="Times New Roman" w:hAnsi="Times New Roman" w:cs="Times New Roman"/>
          <w:sz w:val="24"/>
          <w:szCs w:val="24"/>
        </w:rPr>
      </w:pPr>
      <w:r w:rsidRPr="00A7717D">
        <w:rPr>
          <w:rFonts w:ascii="Times New Roman" w:hAnsi="Times New Roman" w:cs="Times New Roman"/>
          <w:sz w:val="24"/>
          <w:szCs w:val="24"/>
        </w:rPr>
        <w:t>Среди всех латиноамериканских стран Парагвай выделяется своим особым языковым ландшафтом: так, согласно результатам переписи населения 2013 г., около 80% населения страны владеет языком гуарани (семья тупи) — для сравнения, только около 60% населения владеют испанским (индоевропейская семья) [</w:t>
      </w:r>
      <w:r w:rsidRPr="00A7717D">
        <w:rPr>
          <w:rFonts w:ascii="Times New Roman" w:hAnsi="Times New Roman" w:cs="Times New Roman"/>
          <w:sz w:val="24"/>
          <w:szCs w:val="24"/>
          <w:lang w:val="es-ES"/>
        </w:rPr>
        <w:t>Palacios</w:t>
      </w:r>
      <w:r w:rsidRPr="00A7717D">
        <w:rPr>
          <w:rFonts w:ascii="Times New Roman" w:hAnsi="Times New Roman" w:cs="Times New Roman"/>
          <w:sz w:val="24"/>
          <w:szCs w:val="24"/>
        </w:rPr>
        <w:t xml:space="preserve"> 2019: 238]. Таким образом, абсолютное большинство населения страны </w:t>
      </w:r>
      <w:proofErr w:type="spellStart"/>
      <w:r w:rsidRPr="00A7717D">
        <w:rPr>
          <w:rFonts w:ascii="Times New Roman" w:hAnsi="Times New Roman" w:cs="Times New Roman"/>
          <w:sz w:val="24"/>
          <w:szCs w:val="24"/>
        </w:rPr>
        <w:t>билингвально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, </w:t>
      </w:r>
      <w:r w:rsidR="00030448" w:rsidRPr="00A7717D">
        <w:rPr>
          <w:rFonts w:ascii="Times New Roman" w:hAnsi="Times New Roman" w:cs="Times New Roman"/>
          <w:sz w:val="24"/>
          <w:szCs w:val="24"/>
        </w:rPr>
        <w:t>и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="00030448" w:rsidRPr="00A7717D">
        <w:rPr>
          <w:rFonts w:ascii="Times New Roman" w:hAnsi="Times New Roman" w:cs="Times New Roman"/>
          <w:sz w:val="24"/>
          <w:szCs w:val="24"/>
        </w:rPr>
        <w:t>в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 xml:space="preserve">особенности это утверждение справедливо для городского населения. Эта ситуация имеет закономерное влияние на речь парагвайцев, для которой характерно большое количество явлений, которые часто описываются </w:t>
      </w:r>
      <w:r w:rsidR="00030448" w:rsidRPr="00A7717D">
        <w:rPr>
          <w:rFonts w:ascii="Times New Roman" w:hAnsi="Times New Roman" w:cs="Times New Roman"/>
          <w:sz w:val="24"/>
          <w:szCs w:val="24"/>
        </w:rPr>
        <w:t>в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>литературе как контактные.</w:t>
      </w:r>
    </w:p>
    <w:p w14:paraId="2B330053" w14:textId="31369467" w:rsidR="00A7717D" w:rsidRPr="00A7717D" w:rsidRDefault="00A7717D" w:rsidP="00A7717D">
      <w:pPr>
        <w:rPr>
          <w:rFonts w:ascii="Times New Roman" w:hAnsi="Times New Roman" w:cs="Times New Roman"/>
          <w:sz w:val="24"/>
          <w:szCs w:val="24"/>
        </w:rPr>
      </w:pPr>
      <w:r w:rsidRPr="00A7717D">
        <w:rPr>
          <w:rFonts w:ascii="Times New Roman" w:hAnsi="Times New Roman" w:cs="Times New Roman"/>
          <w:sz w:val="24"/>
          <w:szCs w:val="24"/>
        </w:rPr>
        <w:t xml:space="preserve">Тем не менее, на данный момент контактную ситуацию между гуарани </w:t>
      </w:r>
      <w:r w:rsidR="00030448" w:rsidRPr="00A7717D">
        <w:rPr>
          <w:rFonts w:ascii="Times New Roman" w:hAnsi="Times New Roman" w:cs="Times New Roman"/>
          <w:sz w:val="24"/>
          <w:szCs w:val="24"/>
        </w:rPr>
        <w:t>и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>испанским языком в Парагвае нельзя назвать достаточно хорошо описанной [</w:t>
      </w:r>
      <w:r w:rsidRPr="00A7717D">
        <w:rPr>
          <w:rFonts w:ascii="Times New Roman" w:hAnsi="Times New Roman" w:cs="Times New Roman"/>
          <w:sz w:val="24"/>
          <w:szCs w:val="24"/>
          <w:lang w:val="es-ES"/>
        </w:rPr>
        <w:t>Palacios</w:t>
      </w:r>
      <w:r w:rsidRPr="00A7717D">
        <w:rPr>
          <w:rFonts w:ascii="Times New Roman" w:hAnsi="Times New Roman" w:cs="Times New Roman"/>
          <w:sz w:val="24"/>
          <w:szCs w:val="24"/>
        </w:rPr>
        <w:t xml:space="preserve"> 2017: 7]. Поскольку многие авторы упоминают конвергенцию систем маркирования глагольных актантов как одну из самых характерных черт взаимного влияния языков, </w:t>
      </w:r>
      <w:r w:rsidR="00030448" w:rsidRPr="00A7717D">
        <w:rPr>
          <w:rFonts w:ascii="Times New Roman" w:hAnsi="Times New Roman" w:cs="Times New Roman"/>
          <w:sz w:val="24"/>
          <w:szCs w:val="24"/>
        </w:rPr>
        <w:t>в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 xml:space="preserve">этой работе была поставлена цель описать контексты употребления инструментальных </w:t>
      </w:r>
      <w:proofErr w:type="spellStart"/>
      <w:r w:rsidRPr="00A7717D">
        <w:rPr>
          <w:rFonts w:ascii="Times New Roman" w:hAnsi="Times New Roman" w:cs="Times New Roman"/>
          <w:sz w:val="24"/>
          <w:szCs w:val="24"/>
        </w:rPr>
        <w:t>адлогов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— исп. </w:t>
      </w:r>
      <w:r w:rsidRPr="00A7717D">
        <w:rPr>
          <w:rFonts w:ascii="Times New Roman" w:hAnsi="Times New Roman" w:cs="Times New Roman"/>
          <w:i/>
          <w:iCs/>
          <w:sz w:val="24"/>
          <w:szCs w:val="24"/>
          <w:lang w:val="es-ES"/>
        </w:rPr>
        <w:t>por</w:t>
      </w:r>
      <w:r w:rsidRPr="00A7717D">
        <w:rPr>
          <w:rFonts w:ascii="Times New Roman" w:hAnsi="Times New Roman" w:cs="Times New Roman"/>
          <w:sz w:val="24"/>
          <w:szCs w:val="24"/>
        </w:rPr>
        <w:t xml:space="preserve"> </w:t>
      </w:r>
      <w:r w:rsidR="00030448" w:rsidRPr="00A7717D">
        <w:rPr>
          <w:rFonts w:ascii="Times New Roman" w:hAnsi="Times New Roman" w:cs="Times New Roman"/>
          <w:sz w:val="24"/>
          <w:szCs w:val="24"/>
        </w:rPr>
        <w:t>и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7717D">
        <w:rPr>
          <w:rFonts w:ascii="Times New Roman" w:hAnsi="Times New Roman" w:cs="Times New Roman"/>
          <w:sz w:val="24"/>
          <w:szCs w:val="24"/>
        </w:rPr>
        <w:t>гуар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  <w:lang w:val="es-ES"/>
        </w:rPr>
        <w:t>rehe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— </w:t>
      </w:r>
      <w:r w:rsidR="00030448" w:rsidRPr="00A7717D">
        <w:rPr>
          <w:rFonts w:ascii="Times New Roman" w:hAnsi="Times New Roman" w:cs="Times New Roman"/>
          <w:sz w:val="24"/>
          <w:szCs w:val="24"/>
        </w:rPr>
        <w:t>в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 xml:space="preserve">двух языках </w:t>
      </w:r>
      <w:r w:rsidR="00030448" w:rsidRPr="00A7717D">
        <w:rPr>
          <w:rFonts w:ascii="Times New Roman" w:hAnsi="Times New Roman" w:cs="Times New Roman"/>
          <w:sz w:val="24"/>
          <w:szCs w:val="24"/>
        </w:rPr>
        <w:t>и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>выяснить, можно ли заметить у них что-то общее.</w:t>
      </w:r>
    </w:p>
    <w:p w14:paraId="5EA035E9" w14:textId="77777777" w:rsidR="00A7717D" w:rsidRPr="00A7717D" w:rsidRDefault="00A7717D" w:rsidP="00A7717D">
      <w:pPr>
        <w:rPr>
          <w:rFonts w:ascii="Times New Roman" w:hAnsi="Times New Roman" w:cs="Times New Roman"/>
          <w:sz w:val="24"/>
          <w:szCs w:val="24"/>
        </w:rPr>
      </w:pPr>
      <w:r w:rsidRPr="00A7717D">
        <w:rPr>
          <w:rFonts w:ascii="Times New Roman" w:hAnsi="Times New Roman" w:cs="Times New Roman"/>
          <w:sz w:val="24"/>
          <w:szCs w:val="24"/>
        </w:rPr>
        <w:t xml:space="preserve">При исследовании семантики этих </w:t>
      </w:r>
      <w:proofErr w:type="spellStart"/>
      <w:r w:rsidRPr="00A7717D">
        <w:rPr>
          <w:rFonts w:ascii="Times New Roman" w:hAnsi="Times New Roman" w:cs="Times New Roman"/>
          <w:sz w:val="24"/>
          <w:szCs w:val="24"/>
        </w:rPr>
        <w:t>адлогов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разумно разделить все контексты их употребления на две группы:</w:t>
      </w:r>
    </w:p>
    <w:p w14:paraId="4341099B" w14:textId="77777777" w:rsidR="00A7717D" w:rsidRPr="00A7717D" w:rsidRDefault="00A7717D" w:rsidP="00A7717D">
      <w:pPr>
        <w:pStyle w:val="Prrafodelista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7717D">
        <w:rPr>
          <w:rFonts w:ascii="Times New Roman" w:hAnsi="Times New Roman" w:cs="Times New Roman"/>
          <w:sz w:val="24"/>
          <w:szCs w:val="24"/>
        </w:rPr>
        <w:t>локативные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употребления,</w:t>
      </w:r>
    </w:p>
    <w:p w14:paraId="311A509B" w14:textId="77777777" w:rsidR="00A7717D" w:rsidRPr="00A7717D" w:rsidRDefault="00A7717D" w:rsidP="00A7717D">
      <w:pPr>
        <w:pStyle w:val="Prrafodelista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A7717D">
        <w:rPr>
          <w:rFonts w:ascii="Times New Roman" w:hAnsi="Times New Roman" w:cs="Times New Roman"/>
          <w:sz w:val="24"/>
          <w:szCs w:val="24"/>
        </w:rPr>
        <w:t>употребления для маркирования глагольных актантов.</w:t>
      </w:r>
    </w:p>
    <w:p w14:paraId="59932738" w14:textId="26224CC9" w:rsidR="00A7717D" w:rsidRPr="00A7717D" w:rsidRDefault="00A7717D" w:rsidP="00A7717D">
      <w:pPr>
        <w:rPr>
          <w:rFonts w:ascii="Times New Roman" w:hAnsi="Times New Roman" w:cs="Times New Roman"/>
          <w:sz w:val="24"/>
          <w:szCs w:val="24"/>
        </w:rPr>
      </w:pPr>
      <w:r w:rsidRPr="00A7717D">
        <w:rPr>
          <w:rFonts w:ascii="Times New Roman" w:hAnsi="Times New Roman" w:cs="Times New Roman"/>
          <w:sz w:val="24"/>
          <w:szCs w:val="24"/>
        </w:rPr>
        <w:t xml:space="preserve">Так, говоря </w:t>
      </w:r>
      <w:r w:rsidR="00030448" w:rsidRPr="00A7717D">
        <w:rPr>
          <w:rFonts w:ascii="Times New Roman" w:hAnsi="Times New Roman" w:cs="Times New Roman"/>
          <w:sz w:val="24"/>
          <w:szCs w:val="24"/>
        </w:rPr>
        <w:t>о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 xml:space="preserve">маркировании глагольных актантов, автор одной из традиционных грамматик языка гуарани А. </w:t>
      </w:r>
      <w:proofErr w:type="spellStart"/>
      <w:r w:rsidRPr="00A7717D">
        <w:rPr>
          <w:rFonts w:ascii="Times New Roman" w:hAnsi="Times New Roman" w:cs="Times New Roman"/>
          <w:sz w:val="24"/>
          <w:szCs w:val="24"/>
        </w:rPr>
        <w:t>Гуаск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пишет </w:t>
      </w:r>
      <w:r w:rsidR="00030448" w:rsidRPr="00A7717D">
        <w:rPr>
          <w:rFonts w:ascii="Times New Roman" w:hAnsi="Times New Roman" w:cs="Times New Roman"/>
          <w:sz w:val="24"/>
          <w:szCs w:val="24"/>
        </w:rPr>
        <w:t>в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 xml:space="preserve">своей работе, что «Почти всегда дословный перевод предложения </w:t>
      </w:r>
      <w:r w:rsidR="00030448" w:rsidRPr="00A7717D">
        <w:rPr>
          <w:rFonts w:ascii="Times New Roman" w:hAnsi="Times New Roman" w:cs="Times New Roman"/>
          <w:sz w:val="24"/>
          <w:szCs w:val="24"/>
        </w:rPr>
        <w:t>с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rehe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оказывается ошибочным </w:t>
      </w:r>
      <w:r w:rsidR="00030448" w:rsidRPr="00A7717D">
        <w:rPr>
          <w:rFonts w:ascii="Times New Roman" w:hAnsi="Times New Roman" w:cs="Times New Roman"/>
          <w:sz w:val="24"/>
          <w:szCs w:val="24"/>
        </w:rPr>
        <w:t>в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 xml:space="preserve">испанском языке»; более того, </w:t>
      </w:r>
      <w:proofErr w:type="spellStart"/>
      <w:r w:rsidRPr="00A7717D">
        <w:rPr>
          <w:rFonts w:ascii="Times New Roman" w:hAnsi="Times New Roman" w:cs="Times New Roman"/>
          <w:sz w:val="24"/>
          <w:szCs w:val="24"/>
        </w:rPr>
        <w:t>Гуаск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предостерегает, что такие фразы как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reparo</w:t>
      </w:r>
      <w:proofErr w:type="spellEnd"/>
      <w:r w:rsidRPr="00A77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por</w:t>
      </w:r>
      <w:proofErr w:type="spellEnd"/>
      <w:r w:rsidRPr="00A77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él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‘</w:t>
      </w:r>
      <w:r w:rsidR="00030448" w:rsidRPr="00A7717D">
        <w:rPr>
          <w:rFonts w:ascii="Times New Roman" w:hAnsi="Times New Roman" w:cs="Times New Roman"/>
          <w:sz w:val="24"/>
          <w:szCs w:val="24"/>
        </w:rPr>
        <w:t>я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 xml:space="preserve">его исправляю’,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pisó</w:t>
      </w:r>
      <w:proofErr w:type="spellEnd"/>
      <w:r w:rsidRPr="00A77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por</w:t>
      </w:r>
      <w:proofErr w:type="spellEnd"/>
      <w:r w:rsidRPr="00A77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él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‘он на него наступил’,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hace</w:t>
      </w:r>
      <w:proofErr w:type="spellEnd"/>
      <w:r w:rsidRPr="00A77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bien</w:t>
      </w:r>
      <w:proofErr w:type="spellEnd"/>
      <w:r w:rsidRPr="00A77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por</w:t>
      </w:r>
      <w:proofErr w:type="spellEnd"/>
      <w:r w:rsidRPr="00A77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nosotros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‘он делает нам хорошо’ — «это </w:t>
      </w:r>
      <w:proofErr w:type="spellStart"/>
      <w:r w:rsidRPr="00A7717D">
        <w:rPr>
          <w:rFonts w:ascii="Times New Roman" w:hAnsi="Times New Roman" w:cs="Times New Roman"/>
          <w:sz w:val="24"/>
          <w:szCs w:val="24"/>
        </w:rPr>
        <w:t>гуаранизмы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>, которых следует избегать любой ценой, если мы не хотим уродовать испанский язык» (пер. авторский; [</w:t>
      </w:r>
      <w:r w:rsidRPr="00A7717D">
        <w:rPr>
          <w:rFonts w:ascii="Times New Roman" w:hAnsi="Times New Roman" w:cs="Times New Roman"/>
          <w:sz w:val="24"/>
          <w:szCs w:val="24"/>
          <w:lang w:val="es-ES"/>
        </w:rPr>
        <w:t>Guasch</w:t>
      </w:r>
      <w:r w:rsidRPr="00A7717D">
        <w:rPr>
          <w:rFonts w:ascii="Times New Roman" w:hAnsi="Times New Roman" w:cs="Times New Roman"/>
          <w:sz w:val="24"/>
          <w:szCs w:val="24"/>
        </w:rPr>
        <w:t xml:space="preserve"> 240–243]). Стоит отметить, что факт такого упоминания — причём со столь яркой эмоциональной окраской — является явным свидетельством широкой распространённости подобной конструкции </w:t>
      </w:r>
      <w:r w:rsidR="00030448" w:rsidRPr="00A7717D">
        <w:rPr>
          <w:rFonts w:ascii="Times New Roman" w:hAnsi="Times New Roman" w:cs="Times New Roman"/>
          <w:sz w:val="24"/>
          <w:szCs w:val="24"/>
        </w:rPr>
        <w:t>в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>ненормированном разговорном языке.</w:t>
      </w:r>
    </w:p>
    <w:p w14:paraId="7D54722C" w14:textId="3C9B63EF" w:rsidR="00A7717D" w:rsidRPr="00A7717D" w:rsidRDefault="00A7717D" w:rsidP="00A7717D">
      <w:pPr>
        <w:rPr>
          <w:rFonts w:ascii="Times New Roman" w:hAnsi="Times New Roman" w:cs="Times New Roman"/>
          <w:sz w:val="24"/>
          <w:szCs w:val="24"/>
        </w:rPr>
      </w:pPr>
      <w:r w:rsidRPr="00A7717D">
        <w:rPr>
          <w:rFonts w:ascii="Times New Roman" w:hAnsi="Times New Roman" w:cs="Times New Roman"/>
          <w:sz w:val="24"/>
          <w:szCs w:val="24"/>
        </w:rPr>
        <w:t xml:space="preserve">Среди примеров употребления послелога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  <w:lang w:val="es-ES"/>
        </w:rPr>
        <w:t>rehe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sz w:val="24"/>
          <w:szCs w:val="24"/>
        </w:rPr>
        <w:t>Гуаск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приводит два, где </w:t>
      </w:r>
      <w:r w:rsidR="00030448" w:rsidRPr="00A7717D">
        <w:rPr>
          <w:rFonts w:ascii="Times New Roman" w:hAnsi="Times New Roman" w:cs="Times New Roman"/>
          <w:sz w:val="24"/>
          <w:szCs w:val="24"/>
        </w:rPr>
        <w:t>в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 xml:space="preserve">испанском переводе ему соответствует предлог </w:t>
      </w:r>
      <w:r w:rsidRPr="00A7717D">
        <w:rPr>
          <w:rFonts w:ascii="Times New Roman" w:hAnsi="Times New Roman" w:cs="Times New Roman"/>
          <w:i/>
          <w:iCs/>
          <w:sz w:val="24"/>
          <w:szCs w:val="24"/>
          <w:lang w:val="es-ES"/>
        </w:rPr>
        <w:t>por</w:t>
      </w:r>
      <w:r w:rsidRPr="00A771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añemboʼe</w:t>
      </w:r>
      <w:proofErr w:type="spellEnd"/>
      <w:r w:rsidRPr="00A77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hese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rezo</w:t>
      </w:r>
      <w:proofErr w:type="spellEnd"/>
      <w:r w:rsidRPr="00A77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por</w:t>
      </w:r>
      <w:proofErr w:type="spellEnd"/>
      <w:r w:rsidRPr="00A77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él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‘</w:t>
      </w:r>
      <w:r w:rsidR="00030448" w:rsidRPr="00A7717D">
        <w:rPr>
          <w:rFonts w:ascii="Times New Roman" w:hAnsi="Times New Roman" w:cs="Times New Roman"/>
          <w:sz w:val="24"/>
          <w:szCs w:val="24"/>
        </w:rPr>
        <w:t>я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 xml:space="preserve">молюсь </w:t>
      </w:r>
      <w:r w:rsidR="00030448" w:rsidRPr="00A7717D">
        <w:rPr>
          <w:rFonts w:ascii="Times New Roman" w:hAnsi="Times New Roman" w:cs="Times New Roman"/>
          <w:sz w:val="24"/>
          <w:szCs w:val="24"/>
        </w:rPr>
        <w:t>о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 xml:space="preserve">нём’,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nde</w:t>
      </w:r>
      <w:proofErr w:type="spellEnd"/>
      <w:r w:rsidRPr="00A77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rerohory</w:t>
      </w:r>
      <w:proofErr w:type="spellEnd"/>
      <w:r w:rsidRPr="00A77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ne</w:t>
      </w:r>
      <w:proofErr w:type="spellEnd"/>
      <w:r w:rsidRPr="00A77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rembiapóre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A77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felicit</w:t>
      </w:r>
      <w:proofErr w:type="spellEnd"/>
      <w:r w:rsidRPr="00A7717D">
        <w:rPr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A77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por</w:t>
      </w:r>
      <w:proofErr w:type="spellEnd"/>
      <w:r w:rsidRPr="00A77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tu</w:t>
      </w:r>
      <w:proofErr w:type="spellEnd"/>
      <w:r w:rsidRPr="00A77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</w:rPr>
        <w:t>ocupación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‘он поздравляет тебя </w:t>
      </w:r>
      <w:r w:rsidR="00030448" w:rsidRPr="00A7717D">
        <w:rPr>
          <w:rFonts w:ascii="Times New Roman" w:hAnsi="Times New Roman" w:cs="Times New Roman"/>
          <w:sz w:val="24"/>
          <w:szCs w:val="24"/>
        </w:rPr>
        <w:t>с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 xml:space="preserve">твоей [новой] работой’. Не следует, однако, думать — </w:t>
      </w:r>
      <w:r w:rsidR="00030448" w:rsidRPr="00A7717D">
        <w:rPr>
          <w:rFonts w:ascii="Times New Roman" w:hAnsi="Times New Roman" w:cs="Times New Roman"/>
          <w:sz w:val="24"/>
          <w:szCs w:val="24"/>
        </w:rPr>
        <w:t>и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 xml:space="preserve">это подтверждает факт существования влияния друг на друга двух стратегий кодирования актантов — что семантика </w:t>
      </w:r>
      <w:r w:rsidRPr="00A7717D">
        <w:rPr>
          <w:rFonts w:ascii="Times New Roman" w:hAnsi="Times New Roman" w:cs="Times New Roman"/>
          <w:i/>
          <w:iCs/>
          <w:sz w:val="24"/>
          <w:szCs w:val="24"/>
          <w:lang w:val="es-ES"/>
        </w:rPr>
        <w:t>por</w:t>
      </w:r>
      <w:r w:rsidRPr="00A7717D">
        <w:rPr>
          <w:rFonts w:ascii="Times New Roman" w:hAnsi="Times New Roman" w:cs="Times New Roman"/>
          <w:sz w:val="24"/>
          <w:szCs w:val="24"/>
        </w:rPr>
        <w:t xml:space="preserve"> </w:t>
      </w:r>
      <w:r w:rsidR="00030448" w:rsidRPr="00A7717D">
        <w:rPr>
          <w:rFonts w:ascii="Times New Roman" w:hAnsi="Times New Roman" w:cs="Times New Roman"/>
          <w:sz w:val="24"/>
          <w:szCs w:val="24"/>
        </w:rPr>
        <w:t>и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7717D">
        <w:rPr>
          <w:rFonts w:ascii="Times New Roman" w:hAnsi="Times New Roman" w:cs="Times New Roman"/>
          <w:i/>
          <w:iCs/>
          <w:sz w:val="24"/>
          <w:szCs w:val="24"/>
          <w:lang w:val="es-ES"/>
        </w:rPr>
        <w:t>rehe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не имеет ничего общего: </w:t>
      </w:r>
      <w:r w:rsidR="00030448" w:rsidRPr="00A7717D">
        <w:rPr>
          <w:rFonts w:ascii="Times New Roman" w:hAnsi="Times New Roman" w:cs="Times New Roman"/>
          <w:sz w:val="24"/>
          <w:szCs w:val="24"/>
        </w:rPr>
        <w:t>в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 xml:space="preserve">своих работах, посвящённых </w:t>
      </w:r>
      <w:proofErr w:type="spellStart"/>
      <w:r w:rsidRPr="00A7717D">
        <w:rPr>
          <w:rFonts w:ascii="Times New Roman" w:hAnsi="Times New Roman" w:cs="Times New Roman"/>
          <w:sz w:val="24"/>
          <w:szCs w:val="24"/>
        </w:rPr>
        <w:t>локативному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употреблению этих </w:t>
      </w:r>
      <w:proofErr w:type="spellStart"/>
      <w:r w:rsidRPr="00A7717D">
        <w:rPr>
          <w:rFonts w:ascii="Times New Roman" w:hAnsi="Times New Roman" w:cs="Times New Roman"/>
          <w:sz w:val="24"/>
          <w:szCs w:val="24"/>
        </w:rPr>
        <w:t>адлогов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</w:t>
      </w:r>
      <w:r w:rsidR="00030448" w:rsidRPr="00A7717D">
        <w:rPr>
          <w:rFonts w:ascii="Times New Roman" w:hAnsi="Times New Roman" w:cs="Times New Roman"/>
          <w:sz w:val="24"/>
          <w:szCs w:val="24"/>
        </w:rPr>
        <w:t>в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 xml:space="preserve">испанском </w:t>
      </w:r>
      <w:r w:rsidR="00030448" w:rsidRPr="00A7717D">
        <w:rPr>
          <w:rFonts w:ascii="Times New Roman" w:hAnsi="Times New Roman" w:cs="Times New Roman"/>
          <w:sz w:val="24"/>
          <w:szCs w:val="24"/>
        </w:rPr>
        <w:t>и</w:t>
      </w:r>
      <w:r w:rsidR="00030448">
        <w:rPr>
          <w:rFonts w:ascii="Times New Roman" w:hAnsi="Times New Roman" w:cs="Times New Roman"/>
          <w:sz w:val="24"/>
          <w:szCs w:val="24"/>
        </w:rPr>
        <w:t> </w:t>
      </w:r>
      <w:r w:rsidRPr="00A7717D">
        <w:rPr>
          <w:rFonts w:ascii="Times New Roman" w:hAnsi="Times New Roman" w:cs="Times New Roman"/>
          <w:sz w:val="24"/>
          <w:szCs w:val="24"/>
        </w:rPr>
        <w:t xml:space="preserve">гуарани, А. </w:t>
      </w:r>
      <w:proofErr w:type="spellStart"/>
      <w:r w:rsidRPr="00A7717D">
        <w:rPr>
          <w:rFonts w:ascii="Times New Roman" w:hAnsi="Times New Roman" w:cs="Times New Roman"/>
          <w:sz w:val="24"/>
          <w:szCs w:val="24"/>
        </w:rPr>
        <w:t>Паласиос</w:t>
      </w:r>
      <w:proofErr w:type="spellEnd"/>
      <w:r w:rsidRPr="00A7717D">
        <w:rPr>
          <w:rFonts w:ascii="Times New Roman" w:hAnsi="Times New Roman" w:cs="Times New Roman"/>
          <w:sz w:val="24"/>
          <w:szCs w:val="24"/>
        </w:rPr>
        <w:t xml:space="preserve"> показывает, что между ними есть много общего [</w:t>
      </w:r>
      <w:r w:rsidRPr="00A7717D">
        <w:rPr>
          <w:rFonts w:ascii="Times New Roman" w:hAnsi="Times New Roman" w:cs="Times New Roman"/>
          <w:sz w:val="24"/>
          <w:szCs w:val="24"/>
          <w:lang w:val="es-ES"/>
        </w:rPr>
        <w:t>Palacios</w:t>
      </w:r>
      <w:r w:rsidRPr="00A7717D">
        <w:rPr>
          <w:rFonts w:ascii="Times New Roman" w:hAnsi="Times New Roman" w:cs="Times New Roman"/>
          <w:sz w:val="24"/>
          <w:szCs w:val="24"/>
        </w:rPr>
        <w:t xml:space="preserve"> 2019: 246–251].</w:t>
      </w:r>
    </w:p>
    <w:p w14:paraId="2BACF23B" w14:textId="2F9FDB4F" w:rsidR="00A7717D" w:rsidRPr="00A7717D" w:rsidRDefault="00030448" w:rsidP="00A7717D">
      <w:pPr>
        <w:rPr>
          <w:rFonts w:ascii="Times New Roman" w:hAnsi="Times New Roman" w:cs="Times New Roman"/>
          <w:sz w:val="24"/>
          <w:szCs w:val="24"/>
        </w:rPr>
      </w:pPr>
      <w:r w:rsidRPr="00A771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17D" w:rsidRPr="00A7717D">
        <w:rPr>
          <w:rFonts w:ascii="Times New Roman" w:hAnsi="Times New Roman" w:cs="Times New Roman"/>
          <w:sz w:val="24"/>
          <w:szCs w:val="24"/>
        </w:rPr>
        <w:t xml:space="preserve">ходе работы было проведено исследование корпуса параллельных литературных текстов на испанском языке </w:t>
      </w:r>
      <w:r w:rsidRPr="00A771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7717D" w:rsidRPr="00A7717D">
        <w:rPr>
          <w:rFonts w:ascii="Times New Roman" w:hAnsi="Times New Roman" w:cs="Times New Roman"/>
          <w:sz w:val="24"/>
          <w:szCs w:val="24"/>
        </w:rPr>
        <w:t xml:space="preserve">на гуарани. Для работы был составлен корпус как переводных, так </w:t>
      </w:r>
      <w:r w:rsidRPr="00A771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7717D" w:rsidRPr="00A7717D">
        <w:rPr>
          <w:rFonts w:ascii="Times New Roman" w:hAnsi="Times New Roman" w:cs="Times New Roman"/>
          <w:sz w:val="24"/>
          <w:szCs w:val="24"/>
        </w:rPr>
        <w:t xml:space="preserve">оригинальных литературных текстов разных жанров </w:t>
      </w:r>
      <w:r w:rsidRPr="00A7717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7717D" w:rsidRPr="00A7717D">
        <w:rPr>
          <w:rFonts w:ascii="Times New Roman" w:hAnsi="Times New Roman" w:cs="Times New Roman"/>
          <w:sz w:val="24"/>
          <w:szCs w:val="24"/>
        </w:rPr>
        <w:t xml:space="preserve">целью получить по возможности сбалансированный срез употребления гуарани. </w:t>
      </w:r>
      <w:r w:rsidRPr="00A771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7717D" w:rsidRPr="00A7717D">
        <w:rPr>
          <w:rFonts w:ascii="Times New Roman" w:hAnsi="Times New Roman" w:cs="Times New Roman"/>
          <w:sz w:val="24"/>
          <w:szCs w:val="24"/>
        </w:rPr>
        <w:t xml:space="preserve">этих текстах были идентифицированы случаи употребления </w:t>
      </w:r>
      <w:r w:rsidR="00A7717D" w:rsidRPr="00A7717D">
        <w:rPr>
          <w:rFonts w:ascii="Times New Roman" w:hAnsi="Times New Roman" w:cs="Times New Roman"/>
          <w:i/>
          <w:iCs/>
          <w:sz w:val="24"/>
          <w:szCs w:val="24"/>
          <w:lang w:val="es-ES"/>
        </w:rPr>
        <w:t>por</w:t>
      </w:r>
      <w:r w:rsidR="00A7717D" w:rsidRPr="00A7717D">
        <w:rPr>
          <w:rFonts w:ascii="Times New Roman" w:hAnsi="Times New Roman" w:cs="Times New Roman"/>
          <w:sz w:val="24"/>
          <w:szCs w:val="24"/>
        </w:rPr>
        <w:t xml:space="preserve"> </w:t>
      </w:r>
      <w:r w:rsidRPr="00A771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7717D" w:rsidRPr="00A7717D">
        <w:rPr>
          <w:rFonts w:ascii="Times New Roman" w:hAnsi="Times New Roman" w:cs="Times New Roman"/>
          <w:i/>
          <w:iCs/>
          <w:sz w:val="24"/>
          <w:szCs w:val="24"/>
          <w:lang w:val="es-ES"/>
        </w:rPr>
        <w:t>rehe</w:t>
      </w:r>
      <w:proofErr w:type="spellEnd"/>
      <w:r w:rsidR="00A7717D" w:rsidRPr="00A7717D">
        <w:rPr>
          <w:rFonts w:ascii="Times New Roman" w:hAnsi="Times New Roman" w:cs="Times New Roman"/>
          <w:sz w:val="24"/>
          <w:szCs w:val="24"/>
        </w:rPr>
        <w:t xml:space="preserve"> </w:t>
      </w:r>
      <w:r w:rsidRPr="00A771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7717D" w:rsidRPr="00A7717D">
        <w:rPr>
          <w:rFonts w:ascii="Times New Roman" w:hAnsi="Times New Roman" w:cs="Times New Roman"/>
          <w:sz w:val="24"/>
          <w:szCs w:val="24"/>
        </w:rPr>
        <w:t xml:space="preserve">было произведено сопоставление их контекстов. </w:t>
      </w:r>
      <w:r w:rsidRPr="00A771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17D" w:rsidRPr="00A7717D">
        <w:rPr>
          <w:rFonts w:ascii="Times New Roman" w:hAnsi="Times New Roman" w:cs="Times New Roman"/>
          <w:sz w:val="24"/>
          <w:szCs w:val="24"/>
        </w:rPr>
        <w:t xml:space="preserve">работе даётся характеристика этих контекстов </w:t>
      </w:r>
      <w:r w:rsidRPr="00A771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7717D" w:rsidRPr="00A7717D">
        <w:rPr>
          <w:rFonts w:ascii="Times New Roman" w:hAnsi="Times New Roman" w:cs="Times New Roman"/>
          <w:sz w:val="24"/>
          <w:szCs w:val="24"/>
        </w:rPr>
        <w:t>предлагается попытка описания их пересечения.</w:t>
      </w:r>
    </w:p>
    <w:p w14:paraId="2C885998" w14:textId="77777777" w:rsidR="00A7717D" w:rsidRPr="00A7717D" w:rsidRDefault="00A7717D" w:rsidP="00A7717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5E1DF22" w14:textId="77777777" w:rsidR="00A7717D" w:rsidRPr="00D0364D" w:rsidRDefault="00A7717D" w:rsidP="00A7717D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proofErr w:type="spellStart"/>
      <w:r w:rsidRPr="00A7717D">
        <w:rPr>
          <w:rFonts w:ascii="Times New Roman" w:hAnsi="Times New Roman" w:cs="Times New Roman"/>
          <w:b/>
          <w:bCs/>
          <w:sz w:val="24"/>
          <w:szCs w:val="24"/>
          <w:lang w:val="es-ES"/>
        </w:rPr>
        <w:t>Литература</w:t>
      </w:r>
      <w:proofErr w:type="spellEnd"/>
    </w:p>
    <w:p w14:paraId="4539D6B2" w14:textId="7B01DA3F" w:rsidR="00A7717D" w:rsidRPr="00D0364D" w:rsidRDefault="00A7717D" w:rsidP="00A7717D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D0364D">
        <w:rPr>
          <w:rFonts w:ascii="Times New Roman" w:hAnsi="Times New Roman" w:cs="Times New Roman"/>
          <w:sz w:val="24"/>
          <w:szCs w:val="24"/>
          <w:lang w:val="es-ES"/>
        </w:rPr>
        <w:t xml:space="preserve">Guasch A. El idioma guaraní: gramática </w:t>
      </w:r>
      <w:r w:rsidR="00030448" w:rsidRPr="00D0364D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030448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D0364D">
        <w:rPr>
          <w:rFonts w:ascii="Times New Roman" w:hAnsi="Times New Roman" w:cs="Times New Roman"/>
          <w:sz w:val="24"/>
          <w:szCs w:val="24"/>
          <w:lang w:val="es-ES"/>
        </w:rPr>
        <w:t xml:space="preserve">antología de prosa </w:t>
      </w:r>
      <w:r w:rsidR="00030448" w:rsidRPr="00D0364D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030448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D0364D">
        <w:rPr>
          <w:rFonts w:ascii="Times New Roman" w:hAnsi="Times New Roman" w:cs="Times New Roman"/>
          <w:sz w:val="24"/>
          <w:szCs w:val="24"/>
          <w:lang w:val="es-ES"/>
        </w:rPr>
        <w:t>verso. Asunción, 1956.</w:t>
      </w:r>
    </w:p>
    <w:p w14:paraId="56EE3F1B" w14:textId="5BC2E7B8" w:rsidR="00A7717D" w:rsidRPr="00D0364D" w:rsidRDefault="00A7717D" w:rsidP="00A7717D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D0364D">
        <w:rPr>
          <w:rFonts w:ascii="Times New Roman" w:hAnsi="Times New Roman" w:cs="Times New Roman"/>
          <w:sz w:val="24"/>
          <w:szCs w:val="24"/>
          <w:lang w:val="es-ES"/>
        </w:rPr>
        <w:lastRenderedPageBreak/>
        <w:t>Palacios A. Sobre los cambios lingüísticos en situaciones de contacto // Variación y</w:t>
      </w:r>
      <w:r w:rsidR="00030448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D0364D">
        <w:rPr>
          <w:rFonts w:ascii="Times New Roman" w:hAnsi="Times New Roman" w:cs="Times New Roman"/>
          <w:sz w:val="24"/>
          <w:szCs w:val="24"/>
          <w:lang w:val="es-ES"/>
        </w:rPr>
        <w:t xml:space="preserve">cambio lingüístico en situaciones de contacto / </w:t>
      </w:r>
      <w:proofErr w:type="spellStart"/>
      <w:r w:rsidRPr="00D0364D">
        <w:rPr>
          <w:rFonts w:ascii="Times New Roman" w:hAnsi="Times New Roman" w:cs="Times New Roman"/>
          <w:sz w:val="24"/>
          <w:szCs w:val="24"/>
          <w:lang w:val="es-ES"/>
        </w:rPr>
        <w:t>под</w:t>
      </w:r>
      <w:proofErr w:type="spellEnd"/>
      <w:r w:rsidRPr="00D036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0364D">
        <w:rPr>
          <w:rFonts w:ascii="Times New Roman" w:hAnsi="Times New Roman" w:cs="Times New Roman"/>
          <w:sz w:val="24"/>
          <w:szCs w:val="24"/>
          <w:lang w:val="es-ES"/>
        </w:rPr>
        <w:t>ред</w:t>
      </w:r>
      <w:proofErr w:type="spellEnd"/>
      <w:r w:rsidRPr="00D0364D">
        <w:rPr>
          <w:rFonts w:ascii="Times New Roman" w:hAnsi="Times New Roman" w:cs="Times New Roman"/>
          <w:sz w:val="24"/>
          <w:szCs w:val="24"/>
          <w:lang w:val="es-ES"/>
        </w:rPr>
        <w:t>. A. Palacios. Madrid, 2017. С.</w:t>
      </w:r>
      <w:r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D0364D">
        <w:rPr>
          <w:rFonts w:ascii="Times New Roman" w:hAnsi="Times New Roman" w:cs="Times New Roman"/>
          <w:sz w:val="24"/>
          <w:szCs w:val="24"/>
          <w:lang w:val="es-ES"/>
        </w:rPr>
        <w:t>7–20.</w:t>
      </w:r>
    </w:p>
    <w:p w14:paraId="0CF7E3DA" w14:textId="01E6EDAA" w:rsidR="00A7717D" w:rsidRPr="00D0364D" w:rsidRDefault="00A7717D" w:rsidP="00030448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D0364D">
        <w:rPr>
          <w:rFonts w:ascii="Times New Roman" w:hAnsi="Times New Roman" w:cs="Times New Roman"/>
          <w:sz w:val="24"/>
          <w:szCs w:val="24"/>
          <w:lang w:val="es-ES"/>
        </w:rPr>
        <w:t xml:space="preserve">Palacios A. La reorganización de las preposiciones locativas </w:t>
      </w:r>
      <w:r>
        <w:rPr>
          <w:rFonts w:ascii="Times New Roman" w:hAnsi="Times New Roman" w:cs="Times New Roman"/>
          <w:sz w:val="24"/>
          <w:szCs w:val="24"/>
          <w:lang w:val="es-ES"/>
        </w:rPr>
        <w:t>‘</w:t>
      </w:r>
      <w:r w:rsidRPr="00D0364D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>’</w:t>
      </w:r>
      <w:r w:rsidRPr="00D036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‘</w:t>
      </w:r>
      <w:r w:rsidRPr="00D0364D">
        <w:rPr>
          <w:rFonts w:ascii="Times New Roman" w:hAnsi="Times New Roman" w:cs="Times New Roman"/>
          <w:sz w:val="24"/>
          <w:szCs w:val="24"/>
          <w:lang w:val="es-ES"/>
        </w:rPr>
        <w:t>en</w:t>
      </w:r>
      <w:r>
        <w:rPr>
          <w:rFonts w:ascii="Times New Roman" w:hAnsi="Times New Roman" w:cs="Times New Roman"/>
          <w:sz w:val="24"/>
          <w:szCs w:val="24"/>
          <w:lang w:val="es-ES"/>
        </w:rPr>
        <w:t>’</w:t>
      </w:r>
      <w:r w:rsidRPr="00D036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30448" w:rsidRPr="00D0364D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030448">
        <w:rPr>
          <w:rFonts w:ascii="Times New Roman" w:hAnsi="Times New Roman" w:cs="Times New Roman"/>
          <w:sz w:val="24"/>
          <w:szCs w:val="24"/>
          <w:lang w:val="es-ES"/>
        </w:rPr>
        <w:t> </w:t>
      </w:r>
      <w:r>
        <w:rPr>
          <w:rFonts w:ascii="Times New Roman" w:hAnsi="Times New Roman" w:cs="Times New Roman"/>
          <w:sz w:val="24"/>
          <w:szCs w:val="24"/>
          <w:lang w:val="es-ES"/>
        </w:rPr>
        <w:t>‘</w:t>
      </w:r>
      <w:r w:rsidRPr="00D0364D">
        <w:rPr>
          <w:rFonts w:ascii="Times New Roman" w:hAnsi="Times New Roman" w:cs="Times New Roman"/>
          <w:sz w:val="24"/>
          <w:szCs w:val="24"/>
          <w:lang w:val="es-ES"/>
        </w:rPr>
        <w:t>por</w:t>
      </w:r>
      <w:r>
        <w:rPr>
          <w:rFonts w:ascii="Times New Roman" w:hAnsi="Times New Roman" w:cs="Times New Roman"/>
          <w:sz w:val="24"/>
          <w:szCs w:val="24"/>
          <w:lang w:val="es-ES"/>
        </w:rPr>
        <w:t>’</w:t>
      </w:r>
      <w:r w:rsidRPr="00D0364D">
        <w:rPr>
          <w:rFonts w:ascii="Times New Roman" w:hAnsi="Times New Roman" w:cs="Times New Roman"/>
          <w:sz w:val="24"/>
          <w:szCs w:val="24"/>
          <w:lang w:val="es-ES"/>
        </w:rPr>
        <w:t xml:space="preserve"> en el español en contacto con guaraní. // Círculo de Lingüística Aplicada </w:t>
      </w:r>
      <w:r w:rsidR="00030448" w:rsidRPr="00D0364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030448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D0364D">
        <w:rPr>
          <w:rFonts w:ascii="Times New Roman" w:hAnsi="Times New Roman" w:cs="Times New Roman"/>
          <w:sz w:val="24"/>
          <w:szCs w:val="24"/>
          <w:lang w:val="es-ES"/>
        </w:rPr>
        <w:t xml:space="preserve">la Comunicación. 2019. </w:t>
      </w:r>
      <w:r w:rsidRPr="00A7717D">
        <w:rPr>
          <w:rFonts w:ascii="Times New Roman" w:hAnsi="Times New Roman" w:cs="Times New Roman"/>
          <w:sz w:val="24"/>
          <w:szCs w:val="24"/>
        </w:rPr>
        <w:t>Т</w:t>
      </w:r>
      <w:r w:rsidRPr="00A7717D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D0364D">
        <w:rPr>
          <w:rFonts w:ascii="Times New Roman" w:hAnsi="Times New Roman" w:cs="Times New Roman"/>
          <w:sz w:val="24"/>
          <w:szCs w:val="24"/>
          <w:lang w:val="es-ES"/>
        </w:rPr>
        <w:t>78. С.</w:t>
      </w:r>
      <w:r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D0364D">
        <w:rPr>
          <w:rFonts w:ascii="Times New Roman" w:hAnsi="Times New Roman" w:cs="Times New Roman"/>
          <w:sz w:val="24"/>
          <w:szCs w:val="24"/>
          <w:lang w:val="es-ES"/>
        </w:rPr>
        <w:t>233–254.</w:t>
      </w:r>
    </w:p>
    <w:p w14:paraId="10DA7CCF" w14:textId="77777777" w:rsidR="00DE74FE" w:rsidRPr="00A7717D" w:rsidRDefault="00DE74FE" w:rsidP="00A7717D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DE74FE" w:rsidRPr="00A7717D" w:rsidSect="002A1E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panose1 w:val="00000000000000000000"/>
    <w:charset w:val="00"/>
    <w:family w:val="auto"/>
    <w:pitch w:val="variable"/>
    <w:sig w:usb0="E00002FF" w:usb1="5201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F78F1"/>
    <w:multiLevelType w:val="hybridMultilevel"/>
    <w:tmpl w:val="27DEEE18"/>
    <w:lvl w:ilvl="0" w:tplc="E96A4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692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7D"/>
    <w:rsid w:val="00030448"/>
    <w:rsid w:val="002A1EB3"/>
    <w:rsid w:val="009542CD"/>
    <w:rsid w:val="00A7717D"/>
    <w:rsid w:val="00D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0A16"/>
  <w15:chartTrackingRefBased/>
  <w15:docId w15:val="{5888D83C-503E-4AB9-8FB1-30B2D48D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17D"/>
    <w:pPr>
      <w:spacing w:after="0" w:line="240" w:lineRule="auto"/>
      <w:ind w:firstLine="709"/>
      <w:jc w:val="both"/>
    </w:pPr>
    <w:rPr>
      <w:rFonts w:ascii="EB Garamond" w:eastAsia="Times New Roman" w:hAnsi="EB Garamond" w:cs="EB Garamond"/>
      <w:color w:val="000000"/>
      <w:kern w:val="0"/>
      <w:sz w:val="22"/>
      <w:szCs w:val="22"/>
      <w:lang w:val="ru-RU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77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7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71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7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71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71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71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71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71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7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7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71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717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717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71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71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71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71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71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7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7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7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71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71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717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7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717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7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527</Words>
  <Characters>3285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Kłoczenko</dc:creator>
  <cp:keywords/>
  <dc:description/>
  <cp:lastModifiedBy>Max Kłoczenko</cp:lastModifiedBy>
  <cp:revision>1</cp:revision>
  <dcterms:created xsi:type="dcterms:W3CDTF">2024-02-29T12:30:00Z</dcterms:created>
  <dcterms:modified xsi:type="dcterms:W3CDTF">2024-02-29T12:48:00Z</dcterms:modified>
</cp:coreProperties>
</file>