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51" w:rsidRPr="005630DB" w:rsidRDefault="005630DB" w:rsidP="00F92858">
      <w:pPr>
        <w:jc w:val="center"/>
        <w:rPr>
          <w:b/>
        </w:rPr>
      </w:pPr>
      <w:bookmarkStart w:id="0" w:name="_GoBack"/>
      <w:bookmarkEnd w:id="0"/>
      <w:r w:rsidRPr="005630DB">
        <w:rPr>
          <w:b/>
        </w:rPr>
        <w:t>Композиция неоромантического рассказа во взаимодей</w:t>
      </w:r>
      <w:r w:rsidR="00ED4C4A">
        <w:rPr>
          <w:b/>
        </w:rPr>
        <w:t xml:space="preserve">ствии с большой приключенческой </w:t>
      </w:r>
      <w:r w:rsidRPr="005630DB">
        <w:rPr>
          <w:b/>
        </w:rPr>
        <w:t>формой</w:t>
      </w:r>
    </w:p>
    <w:p w:rsidR="005630DB" w:rsidRDefault="005630DB" w:rsidP="005630DB">
      <w:pPr>
        <w:jc w:val="center"/>
      </w:pPr>
      <w:r>
        <w:t>Клименко Ирина Владимировна</w:t>
      </w:r>
    </w:p>
    <w:p w:rsidR="005630DB" w:rsidRDefault="005630DB" w:rsidP="005630DB">
      <w:pPr>
        <w:jc w:val="center"/>
      </w:pPr>
      <w:r>
        <w:t>Аспирант Московского государственного университета имени М.В. Ломоносова, Москва, Россия</w:t>
      </w:r>
    </w:p>
    <w:p w:rsidR="005630DB" w:rsidRPr="005630DB" w:rsidRDefault="005630DB" w:rsidP="005630DB">
      <w:pPr>
        <w:jc w:val="center"/>
      </w:pPr>
    </w:p>
    <w:p w:rsidR="00872D51" w:rsidRPr="000D57FD" w:rsidRDefault="005630DB" w:rsidP="00872D51">
      <w:pPr>
        <w:ind w:firstLine="709"/>
        <w:jc w:val="both"/>
      </w:pPr>
      <w:r>
        <w:t>При изучении</w:t>
      </w:r>
      <w:r w:rsidR="00872D51" w:rsidRPr="000D57FD">
        <w:t xml:space="preserve"> неоромантической поэтики </w:t>
      </w:r>
      <w:r>
        <w:t xml:space="preserve">композиция </w:t>
      </w:r>
      <w:r w:rsidR="00872D51" w:rsidRPr="000D57FD">
        <w:t xml:space="preserve">относительно редко становится объектом теоретического осмысления на уровне, </w:t>
      </w:r>
      <w:r>
        <w:t>выходящем за пределы анализа ее</w:t>
      </w:r>
      <w:r w:rsidR="00872D51" w:rsidRPr="000D57FD">
        <w:t xml:space="preserve"> конкретных проявлений. </w:t>
      </w:r>
      <w:r w:rsidR="0066033D" w:rsidRPr="000D57FD">
        <w:t xml:space="preserve">Это может быть вызвано большим разнообразием неоромантических произведений и, соответственно, трудностями в обнаружении общих </w:t>
      </w:r>
      <w:r w:rsidR="00AD4B05">
        <w:t xml:space="preserve">композиционных </w:t>
      </w:r>
      <w:r w:rsidR="0066033D" w:rsidRPr="000D57FD">
        <w:t>элемент</w:t>
      </w:r>
      <w:r w:rsidR="00771E85">
        <w:t>ов.</w:t>
      </w:r>
    </w:p>
    <w:p w:rsidR="007D7EF2" w:rsidRPr="000D57FD" w:rsidRDefault="00F52F8F" w:rsidP="007D7EF2">
      <w:pPr>
        <w:ind w:firstLine="709"/>
        <w:jc w:val="both"/>
      </w:pPr>
      <w:r w:rsidRPr="000D57FD">
        <w:t>Перспектива решения этого вопроса видится в обращении к теории пр</w:t>
      </w:r>
      <w:r w:rsidR="007B759E" w:rsidRPr="000D57FD">
        <w:t xml:space="preserve">иключенческой литературы, которая по своим характеристикам </w:t>
      </w:r>
      <w:r w:rsidR="007D7EF2" w:rsidRPr="000D57FD">
        <w:t>оказывается близка поэтике неоромантизма, при этом остается на лите</w:t>
      </w:r>
      <w:r w:rsidR="00AD4B05">
        <w:t xml:space="preserve">ратурном поле в </w:t>
      </w:r>
      <w:r w:rsidR="007D7EF2" w:rsidRPr="000D57FD">
        <w:t>неопределенном статусе.</w:t>
      </w:r>
    </w:p>
    <w:p w:rsidR="007D7EF2" w:rsidRPr="000D57FD" w:rsidRDefault="007D7EF2" w:rsidP="007D7EF2">
      <w:pPr>
        <w:ind w:firstLine="709"/>
        <w:jc w:val="both"/>
      </w:pPr>
      <w:r w:rsidRPr="000D57FD">
        <w:t>Чтобы предметно рассмотреть черты литературы приключений в их приложении к композиции неоромантических произведений, мы обратимся к рассказа</w:t>
      </w:r>
      <w:r w:rsidR="00AD4B05">
        <w:t>м А. Грина, творчество которого</w:t>
      </w:r>
      <w:r w:rsidRPr="000D57FD">
        <w:t xml:space="preserve"> признано лите</w:t>
      </w:r>
      <w:r w:rsidR="00771E85">
        <w:t xml:space="preserve">ратуроведами </w:t>
      </w:r>
      <w:r w:rsidR="00AD4B05">
        <w:t>неоромантическим и при этом</w:t>
      </w:r>
      <w:r w:rsidR="00771E85">
        <w:t xml:space="preserve"> </w:t>
      </w:r>
      <w:r w:rsidRPr="000D57FD">
        <w:t xml:space="preserve">фигурирует в словарных статьях о </w:t>
      </w:r>
      <w:r w:rsidR="002710B4" w:rsidRPr="000D57FD">
        <w:t>приключенческой литературе (</w:t>
      </w:r>
      <w:r w:rsidR="001121DE">
        <w:t xml:space="preserve">например, </w:t>
      </w:r>
      <w:r w:rsidR="002710B4" w:rsidRPr="000D57FD">
        <w:t>в Словаре литературоведческих терминов 1974 г. и Литературной энцик</w:t>
      </w:r>
      <w:r w:rsidR="00423384">
        <w:t xml:space="preserve">лопедии терминов и понятий 2001 </w:t>
      </w:r>
      <w:r w:rsidR="002710B4" w:rsidRPr="000D57FD">
        <w:t>г.).</w:t>
      </w:r>
    </w:p>
    <w:p w:rsidR="007D7EF2" w:rsidRDefault="00533D34" w:rsidP="00872D51">
      <w:pPr>
        <w:ind w:firstLine="709"/>
        <w:jc w:val="both"/>
      </w:pPr>
      <w:r w:rsidRPr="000D57FD">
        <w:t>Выбор малой про</w:t>
      </w:r>
      <w:r w:rsidR="00387477" w:rsidRPr="000D57FD">
        <w:t>зы</w:t>
      </w:r>
      <w:r w:rsidRPr="000D57FD">
        <w:t xml:space="preserve"> обусловлен тем, что традиционно особенности приключения рассматривают на материале романа, то есть большой формы, но при этом, характеризуя творчество писателей – авторов приключенческих произведений, исследователи не делают специальной оговорки, тем самым распространяя </w:t>
      </w:r>
      <w:r w:rsidR="00387477" w:rsidRPr="000D57FD">
        <w:t>терминологическую единицу на</w:t>
      </w:r>
      <w:r w:rsidR="00AD4B05">
        <w:t xml:space="preserve"> более широкий спектр жанров</w:t>
      </w:r>
      <w:r w:rsidR="00387477" w:rsidRPr="000D57FD">
        <w:t xml:space="preserve">. </w:t>
      </w:r>
      <w:r w:rsidR="000D57FD">
        <w:t xml:space="preserve">В связи с этим встает вопрос, как могут </w:t>
      </w:r>
      <w:r w:rsidR="00466EE8">
        <w:t xml:space="preserve">черты большего по объему жанра проявляться в композиции </w:t>
      </w:r>
      <w:r w:rsidR="00064C69">
        <w:t xml:space="preserve">жанра </w:t>
      </w:r>
      <w:r w:rsidR="00A27915">
        <w:t>малого.</w:t>
      </w:r>
    </w:p>
    <w:p w:rsidR="00466EE8" w:rsidRDefault="00466EE8" w:rsidP="00872D51">
      <w:pPr>
        <w:ind w:firstLine="709"/>
        <w:jc w:val="both"/>
      </w:pPr>
      <w:r>
        <w:t>Приключение –</w:t>
      </w:r>
      <w:r w:rsidR="00B261AF">
        <w:t xml:space="preserve"> </w:t>
      </w:r>
      <w:r>
        <w:t xml:space="preserve">преобладание </w:t>
      </w:r>
      <w:r w:rsidR="000658EA">
        <w:t xml:space="preserve">сюжетности над описательностью </w:t>
      </w:r>
      <w:r w:rsidR="000658EA" w:rsidRPr="000658EA">
        <w:t>[</w:t>
      </w:r>
      <w:r w:rsidR="000658EA">
        <w:t>Вулис: 22</w:t>
      </w:r>
      <w:r w:rsidR="000658EA" w:rsidRPr="000658EA">
        <w:t>]</w:t>
      </w:r>
      <w:r>
        <w:t>,</w:t>
      </w:r>
      <w:r w:rsidR="00AD4B05">
        <w:t xml:space="preserve"> само понятие отсылает к</w:t>
      </w:r>
      <w:r>
        <w:t xml:space="preserve"> исключительному событию или цепочке событий, переживаемых героем. В романе структурировать и связать воедино разрозненные звенья внутренней системы приключения помогает деление на главы. Более того, каждая глава может описывать отдельное приключение, свидетельствовать о значимости </w:t>
      </w:r>
      <w:r w:rsidR="00AE7A70">
        <w:t xml:space="preserve">выделенного </w:t>
      </w:r>
      <w:r>
        <w:t xml:space="preserve">в ней события. В </w:t>
      </w:r>
      <w:r w:rsidR="006E5781">
        <w:t xml:space="preserve">небольших </w:t>
      </w:r>
      <w:r w:rsidR="00AE7A70">
        <w:t>по объему</w:t>
      </w:r>
      <w:r>
        <w:t xml:space="preserve"> новеллах, композиционный строй которых </w:t>
      </w:r>
      <w:r w:rsidR="00AC45F2">
        <w:t>подкрепляет стремительность развития событий и нарастающее напряжение, разделение на главы не функционально</w:t>
      </w:r>
      <w:r w:rsidR="00AE7A70">
        <w:t xml:space="preserve"> с точки зрения жанровой логики</w:t>
      </w:r>
      <w:r w:rsidR="00AC45F2">
        <w:t xml:space="preserve">, оно замедляет </w:t>
      </w:r>
      <w:r w:rsidR="00AE7A70">
        <w:t>темп. Однако в малой прозе А.</w:t>
      </w:r>
      <w:r w:rsidR="00AE7A70">
        <w:rPr>
          <w:lang w:val="en-US"/>
        </w:rPr>
        <w:t> </w:t>
      </w:r>
      <w:r w:rsidR="00055033">
        <w:t>Грина это</w:t>
      </w:r>
      <w:r w:rsidR="00AC45F2">
        <w:t xml:space="preserve"> являетс</w:t>
      </w:r>
      <w:r w:rsidR="00055033">
        <w:t xml:space="preserve">я композиционной особенностью, а в некоторых произведениях </w:t>
      </w:r>
      <w:r w:rsidR="00B63781">
        <w:t xml:space="preserve">главы даже имеют собственные названия, </w:t>
      </w:r>
      <w:r w:rsidR="00055033">
        <w:t xml:space="preserve">как в новелле «Всадник без головы (Рукопись </w:t>
      </w:r>
      <w:r w:rsidR="00055033">
        <w:rPr>
          <w:lang w:val="en-US"/>
        </w:rPr>
        <w:t>XVIII</w:t>
      </w:r>
      <w:r w:rsidR="00055033">
        <w:t xml:space="preserve"> столетия)». </w:t>
      </w:r>
    </w:p>
    <w:p w:rsidR="00FA1C48" w:rsidRDefault="0070500D" w:rsidP="00872D51">
      <w:pPr>
        <w:ind w:firstLine="709"/>
        <w:jc w:val="both"/>
      </w:pPr>
      <w:r>
        <w:t>Это намеренная отсылка к большому жанру, подчеркнутая связь с узнаваемой традицией приключ</w:t>
      </w:r>
      <w:r w:rsidR="00AD4B05">
        <w:t>енческого романа. У</w:t>
      </w:r>
      <w:r>
        <w:t>знавание традиции читателем играет ключевую роль</w:t>
      </w:r>
      <w:r w:rsidR="0063762E">
        <w:t>. С</w:t>
      </w:r>
      <w:r>
        <w:t xml:space="preserve"> одной стороны, оно структурирует приключенческий наджанр</w:t>
      </w:r>
      <w:r w:rsidR="00AD4B05">
        <w:t xml:space="preserve"> </w:t>
      </w:r>
      <w:r w:rsidR="00AD4B05" w:rsidRPr="0070500D">
        <w:t>[</w:t>
      </w:r>
      <w:r w:rsidR="00AD4B05">
        <w:t>Вулис: 26]</w:t>
      </w:r>
      <w:r w:rsidR="00A43FF1">
        <w:t xml:space="preserve">, </w:t>
      </w:r>
      <w:r w:rsidR="003C385F">
        <w:t xml:space="preserve">встраивает в него </w:t>
      </w:r>
      <w:r w:rsidR="00A43FF1">
        <w:t>разные по своим свойствам романы путешествий, детективы, фантастическую литературу и т.д.</w:t>
      </w:r>
      <w:r>
        <w:t xml:space="preserve"> </w:t>
      </w:r>
      <w:r w:rsidR="00434009">
        <w:t>С</w:t>
      </w:r>
      <w:r>
        <w:t xml:space="preserve"> другой – это важная черта гриновской и в целом неоромантической </w:t>
      </w:r>
      <w:r w:rsidR="00A43FF1">
        <w:t>поэтики, представляющая собой игру</w:t>
      </w:r>
      <w:r>
        <w:t xml:space="preserve"> с читательскими ожиданиями</w:t>
      </w:r>
      <w:r w:rsidR="001121DE">
        <w:t>, воплощающуюся в аллюзив</w:t>
      </w:r>
      <w:r w:rsidR="00A43FF1">
        <w:t>ности</w:t>
      </w:r>
      <w:r w:rsidR="00F71513">
        <w:t xml:space="preserve">, постижение своего культурного словаря «посредством чужого культурного языка» </w:t>
      </w:r>
      <w:r w:rsidR="00F71513" w:rsidRPr="00F71513">
        <w:t>[</w:t>
      </w:r>
      <w:r w:rsidR="00F71513">
        <w:t>Васильева: 50–51</w:t>
      </w:r>
      <w:r w:rsidR="00F71513" w:rsidRPr="00F71513">
        <w:t>]</w:t>
      </w:r>
      <w:r>
        <w:t>.</w:t>
      </w:r>
      <w:r w:rsidR="00F801AB">
        <w:t xml:space="preserve"> Таким</w:t>
      </w:r>
      <w:r w:rsidR="001121DE">
        <w:t xml:space="preserve"> образом, аллюзив</w:t>
      </w:r>
      <w:r w:rsidR="00C57078">
        <w:t>ность как один из композиционных приемов</w:t>
      </w:r>
      <w:r w:rsidR="00F801AB">
        <w:t xml:space="preserve"> и как имманентное и им</w:t>
      </w:r>
      <w:r w:rsidR="001B75B5">
        <w:t>плицитное свойство объединяет неоромантическ</w:t>
      </w:r>
      <w:r w:rsidR="00B01DE2">
        <w:t>ое произведение и приключе</w:t>
      </w:r>
      <w:r w:rsidR="0013386A">
        <w:t>нческий наджанр.</w:t>
      </w:r>
    </w:p>
    <w:p w:rsidR="00717EE4" w:rsidRDefault="00717EE4" w:rsidP="00872D51">
      <w:pPr>
        <w:ind w:firstLine="709"/>
        <w:jc w:val="both"/>
      </w:pPr>
      <w:r>
        <w:t>Игровая диалогичность влечет за собой игру на уровне слова (стилизации, пародии)</w:t>
      </w:r>
      <w:r w:rsidR="00C24D64">
        <w:t xml:space="preserve">, что свойственно как </w:t>
      </w:r>
      <w:r>
        <w:t>приключенческой литературе,</w:t>
      </w:r>
      <w:r w:rsidR="00E52DB0">
        <w:t xml:space="preserve"> </w:t>
      </w:r>
      <w:r w:rsidR="00AD4B05">
        <w:t xml:space="preserve">подчеркивающей </w:t>
      </w:r>
      <w:r w:rsidR="00811640">
        <w:t>пародированием предшествующих этапов своего развития связь с ними</w:t>
      </w:r>
      <w:r w:rsidR="00E52DB0">
        <w:t>,</w:t>
      </w:r>
      <w:r w:rsidR="00C24D64">
        <w:t xml:space="preserve"> так и </w:t>
      </w:r>
      <w:r w:rsidR="00C24D64">
        <w:lastRenderedPageBreak/>
        <w:t>неоромантической. Характерным примером последнего</w:t>
      </w:r>
      <w:r w:rsidR="001121DE">
        <w:t xml:space="preserve"> являю</w:t>
      </w:r>
      <w:r w:rsidR="00E52DB0">
        <w:t xml:space="preserve">тся </w:t>
      </w:r>
      <w:r w:rsidR="00811640">
        <w:t>рассказ</w:t>
      </w:r>
      <w:r w:rsidR="001121DE">
        <w:t>ы</w:t>
      </w:r>
      <w:r w:rsidR="00811640">
        <w:t xml:space="preserve"> «Табу»</w:t>
      </w:r>
      <w:r w:rsidR="00811640" w:rsidRPr="00811640">
        <w:t xml:space="preserve"> </w:t>
      </w:r>
      <w:r w:rsidR="00AD4B05">
        <w:t xml:space="preserve">и </w:t>
      </w:r>
      <w:r w:rsidR="001121DE">
        <w:t xml:space="preserve">«Птица Кам-Бу» </w:t>
      </w:r>
      <w:r w:rsidR="00AD4B05">
        <w:t>А. Грина, пародирующие</w:t>
      </w:r>
      <w:r w:rsidR="00811640">
        <w:t xml:space="preserve"> атрибуты романа путешествия, </w:t>
      </w:r>
      <w:r w:rsidR="00E52DB0">
        <w:t>новелла</w:t>
      </w:r>
      <w:r>
        <w:t xml:space="preserve"> «Всадник без головы…», единство частей которой </w:t>
      </w:r>
      <w:r w:rsidR="00C24D64">
        <w:t xml:space="preserve">создается </w:t>
      </w:r>
      <w:r w:rsidR="00AB15B3">
        <w:t xml:space="preserve">с помощью пародирования </w:t>
      </w:r>
      <w:r w:rsidR="00811640">
        <w:t xml:space="preserve">сюжетных коллизий </w:t>
      </w:r>
      <w:r w:rsidR="00AB15B3">
        <w:t>рыцарского романа</w:t>
      </w:r>
      <w:r w:rsidR="00811640">
        <w:t xml:space="preserve"> и</w:t>
      </w:r>
      <w:r w:rsidR="00AD4B05">
        <w:t xml:space="preserve"> </w:t>
      </w:r>
      <w:r w:rsidR="00811640">
        <w:t>аллюзиями на рассказ «Легенда о Сонной Лощине» В. Ирвинга</w:t>
      </w:r>
      <w:r w:rsidR="00C24D64">
        <w:t xml:space="preserve">, </w:t>
      </w:r>
      <w:r w:rsidR="00811640">
        <w:t>в свою очередь паро</w:t>
      </w:r>
      <w:r w:rsidR="008F532C">
        <w:t xml:space="preserve">дирующий романтические клише, и </w:t>
      </w:r>
      <w:r w:rsidR="00C24D64">
        <w:t>др.</w:t>
      </w:r>
    </w:p>
    <w:p w:rsidR="00422ACA" w:rsidRPr="00C3296A" w:rsidRDefault="00761E64" w:rsidP="00872D51">
      <w:pPr>
        <w:ind w:firstLine="709"/>
        <w:jc w:val="both"/>
        <w:rPr>
          <w:color w:val="FF0000"/>
        </w:rPr>
      </w:pPr>
      <w:r>
        <w:t>В большой приключенческой форме двигателем сюжета является цепочка случайных совпадений</w:t>
      </w:r>
      <w:r w:rsidR="001121DE">
        <w:t xml:space="preserve"> </w:t>
      </w:r>
      <w:r w:rsidR="001121DE" w:rsidRPr="00761E64">
        <w:t>[</w:t>
      </w:r>
      <w:r w:rsidR="001121DE">
        <w:t>Вулис: 55</w:t>
      </w:r>
      <w:r w:rsidR="001121DE" w:rsidRPr="00761E64">
        <w:t>]</w:t>
      </w:r>
      <w:r>
        <w:t>, выполняющая также функцию монтажной основы композиции</w:t>
      </w:r>
      <w:r w:rsidR="005D3419">
        <w:t>. Из ряда вон выходящие события не осмысливаются герое</w:t>
      </w:r>
      <w:r w:rsidR="001121DE">
        <w:t>м, он включен в </w:t>
      </w:r>
      <w:r w:rsidR="005D3419">
        <w:t xml:space="preserve">них как в игру, то есть проживает приключение ради самого приключения. В </w:t>
      </w:r>
      <w:r w:rsidR="00A4371F">
        <w:t xml:space="preserve">центре </w:t>
      </w:r>
      <w:r w:rsidR="00692F08">
        <w:t>неоромантического</w:t>
      </w:r>
      <w:r w:rsidR="005D3419">
        <w:t xml:space="preserve"> рассказ</w:t>
      </w:r>
      <w:r w:rsidR="00692F08">
        <w:t>а</w:t>
      </w:r>
      <w:r w:rsidR="00A4371F">
        <w:t xml:space="preserve"> оказывается одно</w:t>
      </w:r>
      <w:r w:rsidR="00692F08">
        <w:t xml:space="preserve"> случайное событие, что обусловлено малой формой, </w:t>
      </w:r>
      <w:r w:rsidR="00AD4B05">
        <w:t>и, как правило, оно</w:t>
      </w:r>
      <w:r w:rsidR="00C406AB">
        <w:t xml:space="preserve"> </w:t>
      </w:r>
      <w:r w:rsidR="00F9767F">
        <w:t>осмысл</w:t>
      </w:r>
      <w:r w:rsidR="00C406AB">
        <w:t>ивается героем как не соответствующее привычному течению жизни.</w:t>
      </w:r>
      <w:r w:rsidR="005832C8">
        <w:t xml:space="preserve"> Ключевое значение в сюжете приключенческог</w:t>
      </w:r>
      <w:r w:rsidR="00AD4B05">
        <w:t xml:space="preserve">о романа имеет смена событий, </w:t>
      </w:r>
      <w:r w:rsidR="005832C8">
        <w:t xml:space="preserve">в неоромантическом рассказе – </w:t>
      </w:r>
      <w:r w:rsidR="008410E6">
        <w:t>раскрытие</w:t>
      </w:r>
      <w:r w:rsidR="00E24A70">
        <w:t xml:space="preserve"> характера действующего лица</w:t>
      </w:r>
      <w:r w:rsidR="001121DE">
        <w:t>, вырванного из привычной действительности, и для этой цели одного события оказывается достаточно</w:t>
      </w:r>
      <w:r w:rsidR="00E24A70">
        <w:t>.</w:t>
      </w:r>
    </w:p>
    <w:p w:rsidR="001B75B5" w:rsidRDefault="001121DE" w:rsidP="00872D51">
      <w:pPr>
        <w:ind w:firstLine="709"/>
        <w:jc w:val="both"/>
      </w:pPr>
      <w:r>
        <w:t>О</w:t>
      </w:r>
      <w:r w:rsidR="001370C6">
        <w:t>бщей</w:t>
      </w:r>
      <w:r w:rsidR="00D14BCA">
        <w:t xml:space="preserve"> особенностью является то, что </w:t>
      </w:r>
      <w:r w:rsidR="005A0EE0">
        <w:t xml:space="preserve">точке зрения читателя, </w:t>
      </w:r>
      <w:r w:rsidR="00664B76">
        <w:t>выступающей жанровы</w:t>
      </w:r>
      <w:r w:rsidR="00F23FD2">
        <w:t>м</w:t>
      </w:r>
      <w:r w:rsidR="00664B76">
        <w:t xml:space="preserve"> определител</w:t>
      </w:r>
      <w:r w:rsidR="00F23FD2">
        <w:t>ем</w:t>
      </w:r>
      <w:r w:rsidR="005A0EE0">
        <w:t xml:space="preserve"> приключенческого произведения, </w:t>
      </w:r>
      <w:r w:rsidR="00664B76">
        <w:t xml:space="preserve">в неоромантических </w:t>
      </w:r>
      <w:r w:rsidR="00C104AF">
        <w:t>рассказах А. </w:t>
      </w:r>
      <w:r w:rsidR="00664B76">
        <w:t xml:space="preserve">Грина </w:t>
      </w:r>
      <w:r w:rsidR="00C104AF">
        <w:t>соответствует</w:t>
      </w:r>
      <w:r w:rsidR="001370C6">
        <w:t xml:space="preserve"> </w:t>
      </w:r>
      <w:r w:rsidR="00D14BCA">
        <w:t xml:space="preserve">«характер миросозерцания» </w:t>
      </w:r>
      <w:r w:rsidR="00D14BCA" w:rsidRPr="00C104AF">
        <w:t>[</w:t>
      </w:r>
      <w:r w:rsidR="00D14BCA">
        <w:t>Луков: 310</w:t>
      </w:r>
      <w:r w:rsidR="00D14BCA" w:rsidRPr="00C104AF">
        <w:t>]</w:t>
      </w:r>
      <w:r w:rsidR="00F23FD2">
        <w:t xml:space="preserve"> –</w:t>
      </w:r>
      <w:r w:rsidR="00D14BCA">
        <w:t xml:space="preserve"> </w:t>
      </w:r>
      <w:r w:rsidR="001370C6">
        <w:t>точка</w:t>
      </w:r>
      <w:r w:rsidR="00664B76">
        <w:t xml:space="preserve"> зрения </w:t>
      </w:r>
      <w:r w:rsidR="00D14BCA">
        <w:t xml:space="preserve">внутреннего </w:t>
      </w:r>
      <w:r w:rsidR="003C385F">
        <w:t>субъекта восприятия</w:t>
      </w:r>
      <w:r w:rsidR="00C104AF">
        <w:t>, способного или не способного оц</w:t>
      </w:r>
      <w:r w:rsidR="006E5781">
        <w:t>енить события как романтические</w:t>
      </w:r>
      <w:r w:rsidR="00C104AF">
        <w:t>, как «приключение»</w:t>
      </w:r>
      <w:r w:rsidR="000C4BDA">
        <w:t xml:space="preserve">, что в </w:t>
      </w:r>
      <w:r w:rsidR="001370C6">
        <w:t>итоге влияет на композицию</w:t>
      </w:r>
      <w:r w:rsidR="000C4BDA">
        <w:t xml:space="preserve"> произведения, на образную систему и ее оценку.</w:t>
      </w:r>
    </w:p>
    <w:p w:rsidR="000C4BDA" w:rsidRPr="005630DB" w:rsidRDefault="00663B11" w:rsidP="00872D51">
      <w:pPr>
        <w:ind w:firstLine="709"/>
        <w:jc w:val="both"/>
      </w:pPr>
      <w:r w:rsidRPr="005630DB">
        <w:t>Таким образом, если игровое начало лежит в основе классического приключения, то сюжет неоромантических рассказов А. Грина, как в «Ста верстах по реке», может представлять собой игру в приключение, когда герои осознают приключенческую схему и даже проговаривают правила игры</w:t>
      </w:r>
      <w:r w:rsidR="0073264E" w:rsidRPr="005630DB">
        <w:t>: «Ей представилось, что она … читает о женщине со своим именем в некоей книге, где описываются леса, охоты, опасности». В связи с этим при скреплении элементов композиции значение приобретают аллюзии и точка зрения</w:t>
      </w:r>
      <w:r w:rsidR="006D3B1E" w:rsidRPr="005630DB">
        <w:t xml:space="preserve">, подчеркивающие связь с определенной литературной традицией. </w:t>
      </w:r>
      <w:r w:rsidR="005817EB" w:rsidRPr="005630DB">
        <w:t>Несмотря на общность приемов</w:t>
      </w:r>
      <w:r w:rsidR="00F23FD2">
        <w:t>,</w:t>
      </w:r>
      <w:r w:rsidR="005817EB" w:rsidRPr="005630DB">
        <w:t xml:space="preserve"> неоромантический рассказ преследует иную цель, нежели приключенческий роман, – он исследует личность в экстремальной ситуации, а не саму ситуацию, в связи с чем не нуждается в большом объеме.</w:t>
      </w:r>
    </w:p>
    <w:p w:rsidR="00663B11" w:rsidRDefault="00663B11" w:rsidP="00872D51">
      <w:pPr>
        <w:ind w:firstLine="709"/>
        <w:jc w:val="both"/>
      </w:pPr>
    </w:p>
    <w:p w:rsidR="00CA2BB7" w:rsidRDefault="00CA2BB7" w:rsidP="00872D51">
      <w:pPr>
        <w:ind w:firstLine="709"/>
        <w:jc w:val="both"/>
      </w:pPr>
      <w:r>
        <w:t>Литература:</w:t>
      </w:r>
    </w:p>
    <w:p w:rsidR="00FA1C48" w:rsidRDefault="00E24A70" w:rsidP="00872D51">
      <w:pPr>
        <w:ind w:firstLine="709"/>
        <w:jc w:val="both"/>
      </w:pPr>
      <w:r w:rsidRPr="005630DB">
        <w:rPr>
          <w:i/>
        </w:rPr>
        <w:t>Васильева И.В.</w:t>
      </w:r>
      <w:r w:rsidRPr="00E24A70">
        <w:t xml:space="preserve"> Феномен неоромантизма в худо</w:t>
      </w:r>
      <w:r w:rsidR="00A27915">
        <w:t>жественной культуре России 20 </w:t>
      </w:r>
      <w:r>
        <w:t xml:space="preserve">в. </w:t>
      </w:r>
      <w:r w:rsidRPr="00E24A70">
        <w:t>М., 2011.</w:t>
      </w:r>
    </w:p>
    <w:p w:rsidR="00FA1C48" w:rsidRDefault="00E24A70" w:rsidP="00872D51">
      <w:pPr>
        <w:ind w:firstLine="709"/>
        <w:jc w:val="both"/>
      </w:pPr>
      <w:r w:rsidRPr="005630DB">
        <w:rPr>
          <w:i/>
        </w:rPr>
        <w:t xml:space="preserve">Вулис А.З. </w:t>
      </w:r>
      <w:r w:rsidRPr="00E24A70">
        <w:t xml:space="preserve">В мире </w:t>
      </w:r>
      <w:r>
        <w:t xml:space="preserve">приключений. Поэтика жанра. М., </w:t>
      </w:r>
      <w:r w:rsidRPr="00E24A70">
        <w:t>1986</w:t>
      </w:r>
      <w:r>
        <w:t>.</w:t>
      </w:r>
    </w:p>
    <w:p w:rsidR="00FA1C48" w:rsidRDefault="00E24A70" w:rsidP="00872D51">
      <w:pPr>
        <w:ind w:firstLine="709"/>
        <w:jc w:val="both"/>
      </w:pPr>
      <w:r w:rsidRPr="005630DB">
        <w:rPr>
          <w:i/>
        </w:rPr>
        <w:t>Луков В.А.</w:t>
      </w:r>
      <w:r w:rsidRPr="00E24A70">
        <w:t xml:space="preserve"> Неоромантизм // Знание. Понимание. Умение. 2012. Вып. 2.</w:t>
      </w:r>
      <w:r>
        <w:t xml:space="preserve"> С. 309–312.</w:t>
      </w:r>
    </w:p>
    <w:sectPr w:rsidR="00FA1C48" w:rsidSect="00603E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D51"/>
    <w:rsid w:val="00055033"/>
    <w:rsid w:val="00064AA3"/>
    <w:rsid w:val="00064C69"/>
    <w:rsid w:val="000658EA"/>
    <w:rsid w:val="00067098"/>
    <w:rsid w:val="000C4BDA"/>
    <w:rsid w:val="000D28A7"/>
    <w:rsid w:val="000D57FD"/>
    <w:rsid w:val="001121DE"/>
    <w:rsid w:val="0013386A"/>
    <w:rsid w:val="001370C6"/>
    <w:rsid w:val="00145BFE"/>
    <w:rsid w:val="001B75B5"/>
    <w:rsid w:val="002060E1"/>
    <w:rsid w:val="002710B4"/>
    <w:rsid w:val="002E1AB0"/>
    <w:rsid w:val="003424D6"/>
    <w:rsid w:val="00387477"/>
    <w:rsid w:val="003C385F"/>
    <w:rsid w:val="00422ACA"/>
    <w:rsid w:val="00423384"/>
    <w:rsid w:val="00434009"/>
    <w:rsid w:val="00466EE8"/>
    <w:rsid w:val="00521268"/>
    <w:rsid w:val="00533D34"/>
    <w:rsid w:val="005630DB"/>
    <w:rsid w:val="005817EB"/>
    <w:rsid w:val="005832C8"/>
    <w:rsid w:val="005A0EE0"/>
    <w:rsid w:val="005D3419"/>
    <w:rsid w:val="00603EEC"/>
    <w:rsid w:val="0063762E"/>
    <w:rsid w:val="0066033D"/>
    <w:rsid w:val="00663B11"/>
    <w:rsid w:val="00664B76"/>
    <w:rsid w:val="00674CEF"/>
    <w:rsid w:val="00692F08"/>
    <w:rsid w:val="006D3B1E"/>
    <w:rsid w:val="006E5781"/>
    <w:rsid w:val="0070500D"/>
    <w:rsid w:val="00717EE4"/>
    <w:rsid w:val="0073264E"/>
    <w:rsid w:val="00752960"/>
    <w:rsid w:val="00761E64"/>
    <w:rsid w:val="00771E85"/>
    <w:rsid w:val="007B759E"/>
    <w:rsid w:val="007C69B1"/>
    <w:rsid w:val="007D7EF2"/>
    <w:rsid w:val="00811640"/>
    <w:rsid w:val="008410E6"/>
    <w:rsid w:val="00872D51"/>
    <w:rsid w:val="008761EA"/>
    <w:rsid w:val="008A30CE"/>
    <w:rsid w:val="008F532C"/>
    <w:rsid w:val="00977DF1"/>
    <w:rsid w:val="009F4497"/>
    <w:rsid w:val="00A165E6"/>
    <w:rsid w:val="00A27915"/>
    <w:rsid w:val="00A4371F"/>
    <w:rsid w:val="00A43FF1"/>
    <w:rsid w:val="00A61146"/>
    <w:rsid w:val="00A61524"/>
    <w:rsid w:val="00AA7632"/>
    <w:rsid w:val="00AB15B3"/>
    <w:rsid w:val="00AC45F2"/>
    <w:rsid w:val="00AD4B05"/>
    <w:rsid w:val="00AE1A46"/>
    <w:rsid w:val="00AE7A70"/>
    <w:rsid w:val="00B01DE2"/>
    <w:rsid w:val="00B11E02"/>
    <w:rsid w:val="00B261AF"/>
    <w:rsid w:val="00B63781"/>
    <w:rsid w:val="00B6410D"/>
    <w:rsid w:val="00C104AF"/>
    <w:rsid w:val="00C24D64"/>
    <w:rsid w:val="00C3296A"/>
    <w:rsid w:val="00C406AB"/>
    <w:rsid w:val="00C57078"/>
    <w:rsid w:val="00C600D4"/>
    <w:rsid w:val="00C65F56"/>
    <w:rsid w:val="00CA2BB7"/>
    <w:rsid w:val="00D14BCA"/>
    <w:rsid w:val="00E24A70"/>
    <w:rsid w:val="00E52DB0"/>
    <w:rsid w:val="00ED4C4A"/>
    <w:rsid w:val="00F23FD2"/>
    <w:rsid w:val="00F52F8F"/>
    <w:rsid w:val="00F71513"/>
    <w:rsid w:val="00F801AB"/>
    <w:rsid w:val="00F92858"/>
    <w:rsid w:val="00F9767F"/>
    <w:rsid w:val="00FA1C48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97E342-BBDB-4A88-A079-33F80F6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rsid w:val="004340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009"/>
    <w:rPr>
      <w:sz w:val="20"/>
      <w:szCs w:val="20"/>
    </w:rPr>
  </w:style>
  <w:style w:type="character" w:customStyle="1" w:styleId="CommentTextChar">
    <w:name w:val="Comment Text Char"/>
    <w:link w:val="CommentText"/>
    <w:rsid w:val="00434009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434009"/>
    <w:rPr>
      <w:b/>
      <w:bCs/>
    </w:rPr>
  </w:style>
  <w:style w:type="character" w:customStyle="1" w:styleId="CommentSubjectChar">
    <w:name w:val="Comment Subject Char"/>
    <w:link w:val="CommentSubject"/>
    <w:rsid w:val="00434009"/>
    <w:rPr>
      <w:b/>
      <w:bCs/>
      <w:lang w:eastAsia="ru-RU"/>
    </w:rPr>
  </w:style>
  <w:style w:type="paragraph" w:styleId="BalloonText">
    <w:name w:val="Balloon Text"/>
    <w:basedOn w:val="Normal"/>
    <w:link w:val="BalloonTextChar"/>
    <w:rsid w:val="00434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40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word</cp:lastModifiedBy>
  <cp:revision>2</cp:revision>
  <dcterms:created xsi:type="dcterms:W3CDTF">2024-02-13T14:01:00Z</dcterms:created>
  <dcterms:modified xsi:type="dcterms:W3CDTF">2024-02-13T14:01:00Z</dcterms:modified>
</cp:coreProperties>
</file>