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0" w:firstLineChars="125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Сопоставительный анализ перевода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фрагментов научно-популярного произведения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Стивена Хокинга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«Краткие ответы на большие вопросы»</w:t>
      </w:r>
    </w:p>
    <w:p>
      <w:pPr>
        <w:spacing w:line="240" w:lineRule="auto"/>
        <w:ind w:firstLine="300" w:firstLineChars="125"/>
        <w:jc w:val="center"/>
        <w:rPr>
          <w:rFonts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ru-RU"/>
        </w:rPr>
        <w:t>Кругликова Елена Владиславовна</w:t>
      </w:r>
    </w:p>
    <w:p>
      <w:pPr>
        <w:spacing w:line="240" w:lineRule="auto"/>
        <w:ind w:firstLine="300" w:firstLineChars="125"/>
        <w:jc w:val="center"/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  <w:t>студент</w:t>
      </w:r>
    </w:p>
    <w:p>
      <w:pPr>
        <w:spacing w:line="240" w:lineRule="auto"/>
        <w:ind w:firstLine="300" w:firstLineChars="125"/>
        <w:jc w:val="center"/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  <w:t>Национального исследовательского у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  <w:t>ниверситета «Московского института электронной техники»</w:t>
      </w:r>
    </w:p>
    <w:p>
      <w:pPr>
        <w:spacing w:line="240" w:lineRule="auto"/>
        <w:ind w:firstLine="300" w:firstLineChars="125"/>
        <w:jc w:val="center"/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 w:val="0"/>
          <w:iCs/>
          <w:sz w:val="24"/>
          <w:szCs w:val="24"/>
          <w:lang w:val="ru-RU"/>
        </w:rPr>
        <w:t>Института лингвистического и педагогического образования</w:t>
      </w:r>
    </w:p>
    <w:p>
      <w:pPr>
        <w:spacing w:line="240" w:lineRule="auto"/>
        <w:ind w:firstLine="847" w:firstLineChars="353"/>
        <w:jc w:val="center"/>
        <w:rPr>
          <w:rFonts w:ascii="Times New Roman" w:hAnsi="Times New Roman" w:eastAsia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val="ru-RU"/>
        </w:rPr>
        <w:t>Россия, Москва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Научно-популярные работы занимают особое место, представляя собой важный инструмент передачи научной информации широкой аудитории. Ярким представителем данного жанра является Стивен Хокинг, английский физик-теоретик, чьи работы о космологии и физике привлекают внимание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 w:eastAsia="Times New Roman" w:cs="Times New Roman"/>
          <w:sz w:val="24"/>
          <w:szCs w:val="24"/>
        </w:rPr>
        <w:t>профессионалов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так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любителей.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Данное исследование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ставит в центр научного внимания сопоставительный анализ перевода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научно-популярного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произведения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Стивена Хокинга с английского языка на русский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Цель работы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– выявить </w:t>
      </w:r>
      <w:r>
        <w:rPr>
          <w:rFonts w:ascii="Times New Roman" w:hAnsi="Times New Roman" w:eastAsia="Times New Roman" w:cs="Times New Roman"/>
          <w:sz w:val="24"/>
          <w:szCs w:val="24"/>
        </w:rPr>
        <w:t>особенност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передачи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переводчиком значений избранных лексем и их </w:t>
      </w:r>
      <w:r>
        <w:rPr>
          <w:rFonts w:ascii="Times New Roman" w:hAnsi="Times New Roman" w:eastAsia="Times New Roman" w:cs="Times New Roman"/>
          <w:sz w:val="24"/>
          <w:szCs w:val="24"/>
        </w:rPr>
        <w:t>влияни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восприятие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переводного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текста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читателем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Теоретическую базу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исследования составили материалы М. А. Сафоновой, которая считает, что «</w:t>
      </w:r>
      <w:r>
        <w:rPr>
          <w:rFonts w:ascii="Times New Roman" w:hAnsi="Times New Roman" w:cs="Times New Roman"/>
          <w:sz w:val="24"/>
          <w:szCs w:val="24"/>
        </w:rPr>
        <w:t xml:space="preserve">одной из причин необычайной популярности публицистической прозы С. Хокинга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стало выражение юмора и личного обаяния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в его книгах [Сафонова 2014: 107], а также исследование лексических средств художественной выразительности в научно-популярных текстах Т. Н. Хомутовой, С. Г. Петрова [Хомутова, Петров 2014: 45–52].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Основным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методом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нашего исследования является сопоставительный анализ отрывков произведения.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Чтение научно-популярной литературы позволяет заявить, что п</w:t>
      </w:r>
      <w:r>
        <w:rPr>
          <w:rFonts w:ascii="Times New Roman" w:hAnsi="Times New Roman" w:eastAsia="Times New Roman" w:cs="Times New Roman"/>
          <w:sz w:val="24"/>
          <w:szCs w:val="24"/>
        </w:rPr>
        <w:t>ри описании явлений квантового мира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Стивен Хокинг использует большое количество сравнительных оборотов и изобразительно-выразительных средств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олагаем, что данное явление связано с невозможностью наглядной демонстрации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явлений микромира, так как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представляют собой явления на недоступном человеческому глазу уровне.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Однако необходимость в понимании данных явлений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неоспорима</w:t>
      </w:r>
      <w:r>
        <w:rPr>
          <w:rFonts w:ascii="Times New Roman" w:hAnsi="Times New Roman" w:eastAsia="Times New Roman" w:cs="Times New Roman"/>
          <w:sz w:val="24"/>
          <w:szCs w:val="24"/>
        </w:rPr>
        <w:t>, поэтому физиками часто используется метод аналогий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процессами макромира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что подтверждает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актуальность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представляемой работы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Для анализа мы выбрали примеры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книги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«Краткие ответы на большие вопросы».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«Пре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ставьте человека, который хочет сделать холм на ровном месте. Холм – это Вселенная. Для реализации своего замысла нашему человеку нужно выкопать яму в земле и использовать почву для насыпки холма. То есть он создает не только холм – он создает еще и яму, по сути – отрицательную версию холма.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>Вещество</w:t>
      </w:r>
      <w:r>
        <w:rPr>
          <w:rFonts w:ascii="Times New Roman" w:hAnsi="Times New Roman" w:eastAsia="Times New Roman" w:cs="Times New Roman"/>
          <w:sz w:val="24"/>
          <w:szCs w:val="24"/>
        </w:rPr>
        <w:t>, которое было в яме, теперь находится в холме, так что все идеально уравновешено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» [Хокинг 2017: 61]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Оригинал: 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Imagine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wants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build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hill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flat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piece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land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hill will represent the universe. To make this hill he digs a hole in the ground and uses that soil to dig his hill. But of course he’s not just making a hill – he’s also making a hole, in effect a negative version of the hill.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en-US"/>
        </w:rPr>
        <w:t xml:space="preserve">The stuff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that was in the hole has now become the hill, so it all perfectly balances out [Hawking 2018: 58]”.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Ученый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вместо классического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substance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вещество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использует несколько сниженную лексику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the stuff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Помимо перевода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вещество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мы можем предложить варианты: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наполнение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даже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начинка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Автор также сравнивает </w:t>
      </w:r>
      <w:r>
        <w:rPr>
          <w:rFonts w:ascii="Times New Roman" w:hAnsi="Times New Roman" w:eastAsia="Times New Roman" w:cs="Times New Roman"/>
          <w:sz w:val="24"/>
          <w:szCs w:val="24"/>
        </w:rPr>
        <w:t>энерги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счетом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банке. Стивен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Хокинг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пишет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“Energy is rather like money. If you have a positive bank balance, you can distribute it in various ways… Quantum theory is more relaxed and allows you to have an overdraft on one or two accounts. </w:t>
      </w:r>
      <w:r>
        <w:rPr>
          <w:rFonts w:ascii="Times New Roman" w:hAnsi="Times New Roman" w:eastAsia="Times New Roman" w:cs="Times New Roman"/>
          <w:sz w:val="24"/>
          <w:szCs w:val="24"/>
        </w:rPr>
        <w:t>If only the banks were as accommodating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[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Hawking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2018: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]</w:t>
      </w:r>
      <w:r>
        <w:rPr>
          <w:rFonts w:ascii="Times New Roman" w:hAnsi="Times New Roman" w:eastAsia="Times New Roman" w:cs="Times New Roman"/>
          <w:sz w:val="24"/>
          <w:szCs w:val="24"/>
        </w:rPr>
        <w:t>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Перевод на русский язык: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Квантовая теория более гибкая и позволяет в некоторых случаях допустить овердрафт. Однако банк должен оказать нам такую любезность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» [Хокинг 2017: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/>
        </w:rPr>
        <w:t>105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>]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relaxed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расслабленный подвергнуто интерпретации переводчика и заменено на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гибкий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Если оставить первозданное слово, то можно предложить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варианты перевода: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>непринужденная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>смягченная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нимание читателя привлекает слово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овердрафт</w:t>
      </w:r>
      <w:r>
        <w:rPr>
          <w:rFonts w:ascii="Times New Roman" w:hAnsi="Times New Roman" w:eastAsia="Times New Roman" w:cs="Times New Roman"/>
          <w:sz w:val="24"/>
          <w:szCs w:val="24"/>
        </w:rPr>
        <w:t>, оставленное непереведенным. Понятие вошло в язык экономистов, однако обычному человеку может оставаться непонятным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Мы предлагаем варианты: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краткосрочный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кредит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>или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заем.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Рассмотрим подробнее последнее предложение. Слово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accommodating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имеет значения: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>услужливый, любезный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Следуя оригиналу текста, можно оставить предложение без изменени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грамматического строя: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Если бы только банк был так любезен</w:t>
      </w:r>
      <w:r>
        <w:rPr>
          <w:rFonts w:ascii="Times New Roman" w:hAnsi="Times New Roman" w:eastAsia="Times New Roman" w:cs="Times New Roman"/>
          <w:sz w:val="24"/>
          <w:szCs w:val="24"/>
        </w:rPr>
        <w:t>. Однако и видоизмененный переводчиком вариант не нарушает смысловой ценности предложения.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ходе исследования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проведен сопоставительный анализ перевода научно-популярного произведения Стивена Хокинга «Краткие ответы на большие вопросы»</w:t>
      </w:r>
      <w:r>
        <w:rPr>
          <w:rFonts w:ascii="Times New Roman" w:hAnsi="Times New Roman" w:eastAsia="Times New Roman" w:cs="Times New Roman"/>
          <w:sz w:val="24"/>
          <w:szCs w:val="24"/>
        </w:rPr>
        <w:t>. На основе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полученных данных, нами установлено, что переводчики достаточно успешно передали идеи автора, сохраняя эмоциональную и художественную окраску текста. Тем не менее,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предложены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>альтернативные способы перевода, некоторые из которых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на наш взгляд,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ближе к оригиналу текста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более понятны для русскоязычной аудитории.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Считаем перспективным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зучение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переводов научно-популярной литературы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для дальнейших исследований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>
      <w:pPr>
        <w:spacing w:line="240" w:lineRule="auto"/>
        <w:ind w:firstLine="847" w:firstLineChars="35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Сафонова </w:t>
      </w:r>
      <w:r>
        <w:rPr>
          <w:rFonts w:ascii="Times New Roman" w:hAnsi="Times New Roman" w:cs="Times New Roman"/>
          <w:sz w:val="24"/>
          <w:szCs w:val="24"/>
          <w:lang w:val="ru-RU"/>
        </w:rPr>
        <w:t>А. А.</w:t>
      </w:r>
      <w:r>
        <w:rPr>
          <w:rFonts w:ascii="Times New Roman" w:hAnsi="Times New Roman" w:cs="Times New Roman"/>
          <w:sz w:val="24"/>
          <w:szCs w:val="24"/>
        </w:rPr>
        <w:t xml:space="preserve"> Стилистические средства выражения юмора в публицистической прозе Стивена Хокинга и Леонарда Млодинова: https://cyberleninka.ru/article/n/stilisticheskie-sredstva-vyrazheniya-yumora-v-publitsisticheskoy-proze-stivena-hokinga-i-leonarda-mlodinova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Хомутова Т. Н., Петров С. Г. Функционирование лексических средств художественной выразительности в научно-популярном тексте (на примере метафоры): https://cyberleninka.ru/article/n/funktsionirovanie-leksicheskih-sredstv-hudozhestvennoy-vyrazitelnosti-v-nauchno-populyarnom-tekste-na-primere-metafory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Хокинг С. У.  Краткие ответы на большие вопросы. М.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2017.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/>
        </w:rPr>
        <w:t xml:space="preserve"> Stephen Hawking. Brief Answers to the Big Questions / </w:t>
      </w:r>
      <w:r>
        <w:rPr>
          <w:rFonts w:ascii="Times New Roman" w:hAnsi="Times New Roman" w:eastAsia="Georgia" w:cs="Times New Roman"/>
          <w:color w:val="000000"/>
          <w:sz w:val="24"/>
          <w:szCs w:val="24"/>
          <w:lang w:val="en-US" w:eastAsia="zh-CN" w:bidi="ar"/>
        </w:rPr>
        <w:t xml:space="preserve">UK: 2018 </w:t>
      </w:r>
    </w:p>
    <w:p>
      <w:pPr>
        <w:numPr>
          <w:ilvl w:val="255"/>
          <w:numId w:val="0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numPr>
          <w:ilvl w:val="255"/>
          <w:numId w:val="0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/>
    <w:sectPr>
      <w:pgSz w:w="11909" w:h="16834"/>
      <w:pgMar w:top="1134" w:right="1417" w:bottom="1134" w:left="1417" w:header="720" w:footer="720" w:gutter="0"/>
      <w:pgNumType w:start="1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5EF6"/>
    <w:multiLevelType w:val="singleLevel"/>
    <w:tmpl w:val="59235E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036C"/>
    <w:rsid w:val="0E566A36"/>
    <w:rsid w:val="3BD75887"/>
    <w:rsid w:val="3F310C4E"/>
    <w:rsid w:val="5ADA201D"/>
    <w:rsid w:val="66E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2024-01-18T15:53:00Z</dcterms:created>
  <dc:creator>PC</dc:creator>
  <cp:lastModifiedBy>Лена Кругликова</cp:lastModifiedBy>
  <dcterms:modified xsi:type="dcterms:W3CDTF">2024-01-18T19:01:39Z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AC841D438C89431FA09F002195016F02_13</vt:lpwstr>
  </property>
</Properties>
</file>