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171C" w14:textId="55959638" w:rsidR="00054AF5" w:rsidRPr="00F43B3A" w:rsidRDefault="00054AF5" w:rsidP="001E19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Анодный оксид алюминия с ассиметричной пористой структурой </w:t>
      </w:r>
      <w:r w:rsidR="000D4EE6">
        <w:rPr>
          <w:b/>
          <w:bCs/>
        </w:rPr>
        <w:t>по толщине</w:t>
      </w:r>
    </w:p>
    <w:p w14:paraId="00000002" w14:textId="1E12173A" w:rsidR="00130241" w:rsidRPr="00FD1FF5" w:rsidRDefault="003862DA" w:rsidP="001E19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contextualSpacing/>
        <w:jc w:val="center"/>
        <w:rPr>
          <w:color w:val="000000"/>
        </w:rPr>
      </w:pPr>
      <w:r>
        <w:rPr>
          <w:b/>
          <w:i/>
          <w:color w:val="000000"/>
        </w:rPr>
        <w:t>Сердюков И.С.</w:t>
      </w:r>
    </w:p>
    <w:p w14:paraId="00000003" w14:textId="305F4336" w:rsidR="00130241" w:rsidRPr="00F15C06" w:rsidRDefault="00EB1F49" w:rsidP="001E19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contextualSpacing/>
        <w:jc w:val="center"/>
        <w:rPr>
          <w:color w:val="000000"/>
        </w:rPr>
      </w:pPr>
      <w:r w:rsidRPr="00F15C06">
        <w:rPr>
          <w:i/>
          <w:color w:val="000000"/>
        </w:rPr>
        <w:t xml:space="preserve">Студент, </w:t>
      </w:r>
      <w:r w:rsidR="007665AB">
        <w:rPr>
          <w:i/>
          <w:color w:val="000000"/>
        </w:rPr>
        <w:t>1</w:t>
      </w:r>
      <w:r w:rsidRPr="00F15C06">
        <w:rPr>
          <w:i/>
          <w:color w:val="000000"/>
        </w:rPr>
        <w:t xml:space="preserve"> курс </w:t>
      </w:r>
      <w:r w:rsidR="007665AB">
        <w:rPr>
          <w:i/>
          <w:color w:val="000000"/>
        </w:rPr>
        <w:t>бакалавриата</w:t>
      </w:r>
    </w:p>
    <w:p w14:paraId="3FD5EFF9" w14:textId="465313C8" w:rsidR="003862DA" w:rsidRPr="00391C38" w:rsidRDefault="003862DA" w:rsidP="001E19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  <w:r w:rsidR="001E1941">
        <w:rPr>
          <w:color w:val="000000"/>
        </w:rPr>
        <w:br/>
      </w:r>
      <w:r w:rsidR="00FD1FF5">
        <w:rPr>
          <w:i/>
          <w:color w:val="000000"/>
        </w:rPr>
        <w:t>Факультет наук о материалах, Москва, Россия</w:t>
      </w:r>
    </w:p>
    <w:p w14:paraId="0FCA3B6A" w14:textId="77777777" w:rsidR="001E1941" w:rsidRPr="001E1941" w:rsidRDefault="001E1941" w:rsidP="001E1941">
      <w:pPr>
        <w:ind w:firstLine="0"/>
        <w:contextualSpacing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1E1941">
        <w:rPr>
          <w:i/>
          <w:color w:val="000000"/>
          <w:u w:val="single"/>
          <w:lang w:val="en-US"/>
        </w:rPr>
        <w:t>serdyukovis@my.msu.ru</w:t>
      </w:r>
    </w:p>
    <w:p w14:paraId="4073B294" w14:textId="7C2AC4BB" w:rsidR="006C403E" w:rsidRDefault="004968B8" w:rsidP="001E1941">
      <w:pPr>
        <w:contextualSpacing/>
        <w:jc w:val="both"/>
      </w:pPr>
      <w:r>
        <w:t>Ан</w:t>
      </w:r>
      <w:r w:rsidR="00D34496">
        <w:t xml:space="preserve">одный оксид алюминия </w:t>
      </w:r>
      <w:r w:rsidR="00152692">
        <w:t xml:space="preserve">(АОА) </w:t>
      </w:r>
      <w:r w:rsidR="00D34496">
        <w:t>широко используется в качестве мембранного материала ввиду относительно высокой прочности (выдерживаемая разность давлений мембраны до 1 МПа)</w:t>
      </w:r>
      <w:r w:rsidR="00152692">
        <w:t>, высокой термической стабильности вплоть до 1200 °С, узкого распределения пор по размерам</w:t>
      </w:r>
      <w:r w:rsidR="00D34496">
        <w:t xml:space="preserve"> и возможности контроля параметров мембраны (толщины</w:t>
      </w:r>
      <w:r w:rsidR="00152692">
        <w:t>, диаметра пор</w:t>
      </w:r>
      <w:r w:rsidR="00D34496">
        <w:t xml:space="preserve"> и пористости) за счет изменения условий </w:t>
      </w:r>
      <w:r w:rsidR="00152692">
        <w:t>анодирование</w:t>
      </w:r>
      <w:r w:rsidR="00D34496">
        <w:t>.</w:t>
      </w:r>
      <w:r w:rsidR="00152692">
        <w:t xml:space="preserve"> Малая шероховатость АОА позволяет формировать на его поверхности различные функциональные слои, что в совокупности с возможностью контролируемого заполнения пор значительно расширяет области практического применения мембранных материалов на основе АОА.</w:t>
      </w:r>
    </w:p>
    <w:p w14:paraId="4AC2DD3F" w14:textId="7E0F66F4" w:rsidR="00295640" w:rsidRPr="00F24481" w:rsidRDefault="00295640" w:rsidP="001E1941">
      <w:pPr>
        <w:contextualSpacing/>
        <w:jc w:val="both"/>
        <w:rPr>
          <w:rFonts w:cstheme="minorBidi"/>
          <w:szCs w:val="22"/>
        </w:rPr>
      </w:pPr>
      <w:r>
        <w:t>Целью</w:t>
      </w:r>
      <w:r w:rsidR="00152692">
        <w:t xml:space="preserve"> данной</w:t>
      </w:r>
      <w:r>
        <w:t xml:space="preserve"> работы является получение </w:t>
      </w:r>
      <w:r w:rsidR="00D34496">
        <w:t xml:space="preserve">анодного оксида алюминия </w:t>
      </w:r>
      <w:r>
        <w:t xml:space="preserve">с </w:t>
      </w:r>
      <w:r w:rsidR="00D34496">
        <w:t>ассиметричной пористой структурой</w:t>
      </w:r>
      <w:r w:rsidR="000D4EE6">
        <w:t xml:space="preserve"> по толщине</w:t>
      </w:r>
      <w:r w:rsidR="00D34496">
        <w:t>, который в дальнейшем может быть использован в качестве несущей</w:t>
      </w:r>
      <w:r>
        <w:t xml:space="preserve"> основы для водоро</w:t>
      </w:r>
      <w:r w:rsidR="00C255C5">
        <w:t>дных</w:t>
      </w:r>
      <w:r>
        <w:t xml:space="preserve"> мембран</w:t>
      </w:r>
      <w:r w:rsidR="00C255C5">
        <w:t xml:space="preserve"> с палладиевым селективным слоем.</w:t>
      </w:r>
      <w:r>
        <w:t xml:space="preserve"> Преимущество </w:t>
      </w:r>
      <w:r w:rsidR="00D34496">
        <w:t>данного материала</w:t>
      </w:r>
      <w:r>
        <w:t xml:space="preserve"> заключается в том, что </w:t>
      </w:r>
      <w:r w:rsidR="00152692">
        <w:t xml:space="preserve">крупнопористый </w:t>
      </w:r>
      <w:r>
        <w:t xml:space="preserve">слой </w:t>
      </w:r>
      <w:r w:rsidR="00152692">
        <w:t xml:space="preserve">толщиной в несколько сотен микрон </w:t>
      </w:r>
      <w:r>
        <w:t xml:space="preserve">обеспечит мембране механическую прочность без снижения транспортных свойств, а </w:t>
      </w:r>
      <w:r w:rsidR="00152692">
        <w:t xml:space="preserve">мелкопористый </w:t>
      </w:r>
      <w:r>
        <w:t xml:space="preserve">слой </w:t>
      </w:r>
      <w:r w:rsidR="00C255C5">
        <w:t>облегч</w:t>
      </w:r>
      <w:r w:rsidR="00AD6EF3">
        <w:t>ит</w:t>
      </w:r>
      <w:r>
        <w:t xml:space="preserve"> формирова</w:t>
      </w:r>
      <w:r w:rsidR="00C255C5">
        <w:t>ние</w:t>
      </w:r>
      <w:r>
        <w:t xml:space="preserve"> на поверхности </w:t>
      </w:r>
      <w:r w:rsidR="00152692">
        <w:t xml:space="preserve">АОА </w:t>
      </w:r>
      <w:proofErr w:type="spellStart"/>
      <w:r>
        <w:t>газоплотн</w:t>
      </w:r>
      <w:r w:rsidR="00C255C5">
        <w:t>ого</w:t>
      </w:r>
      <w:proofErr w:type="spellEnd"/>
      <w:r>
        <w:t xml:space="preserve"> </w:t>
      </w:r>
      <w:r w:rsidR="00152692">
        <w:t xml:space="preserve">селективного </w:t>
      </w:r>
      <w:r>
        <w:t>сло</w:t>
      </w:r>
      <w:r w:rsidR="00C255C5">
        <w:t>я</w:t>
      </w:r>
      <w:r w:rsidR="00152692">
        <w:t xml:space="preserve"> палладия</w:t>
      </w:r>
      <w:r>
        <w:t>.</w:t>
      </w:r>
    </w:p>
    <w:p w14:paraId="6198BD91" w14:textId="1E2A7AE2" w:rsidR="00273DF1" w:rsidRDefault="00E45034" w:rsidP="001E1941">
      <w:pPr>
        <w:contextualSpacing/>
        <w:jc w:val="both"/>
      </w:pPr>
      <w:r>
        <w:t xml:space="preserve">Исходя </w:t>
      </w:r>
      <w:r w:rsidR="00295640">
        <w:t>из линейн</w:t>
      </w:r>
      <w:r w:rsidR="004A681E">
        <w:t>ых</w:t>
      </w:r>
      <w:r w:rsidR="00295640">
        <w:t xml:space="preserve"> зависимост</w:t>
      </w:r>
      <w:r w:rsidR="004A681E">
        <w:t>ей</w:t>
      </w:r>
      <w:r w:rsidR="00295640">
        <w:t xml:space="preserve"> диаметра пор (</w:t>
      </w:r>
      <w:proofErr w:type="spellStart"/>
      <w:r w:rsidR="00295640">
        <w:rPr>
          <w:i/>
          <w:iCs/>
          <w:lang w:val="en-US"/>
        </w:rPr>
        <w:t>D</w:t>
      </w:r>
      <w:r w:rsidR="00295640">
        <w:rPr>
          <w:vertAlign w:val="subscript"/>
          <w:lang w:val="en-US"/>
        </w:rPr>
        <w:t>p</w:t>
      </w:r>
      <w:proofErr w:type="spellEnd"/>
      <w:r w:rsidR="00295640">
        <w:t>) и расстояния между центрами пор в плоскости АОА (</w:t>
      </w:r>
      <w:r w:rsidR="00295640">
        <w:rPr>
          <w:i/>
          <w:iCs/>
          <w:lang w:val="en-US"/>
        </w:rPr>
        <w:t>D</w:t>
      </w:r>
      <w:r w:rsidR="00295640">
        <w:rPr>
          <w:vertAlign w:val="subscript"/>
          <w:lang w:val="en-US"/>
        </w:rPr>
        <w:t>int</w:t>
      </w:r>
      <w:r w:rsidR="00295640">
        <w:t>) от напряжения анодирования (</w:t>
      </w:r>
      <w:r w:rsidR="00295640">
        <w:rPr>
          <w:i/>
          <w:iCs/>
          <w:lang w:val="en-US"/>
        </w:rPr>
        <w:t>U</w:t>
      </w:r>
      <w:r w:rsidR="00295640">
        <w:t>)</w:t>
      </w:r>
      <w:r w:rsidR="004A681E">
        <w:t>,</w:t>
      </w:r>
      <w:r>
        <w:t xml:space="preserve"> </w:t>
      </w:r>
      <w:r w:rsidR="00FE478B">
        <w:t>основной синтетический подход заключался в</w:t>
      </w:r>
      <w:r>
        <w:t xml:space="preserve"> снижени</w:t>
      </w:r>
      <w:r w:rsidR="00FE478B">
        <w:t>и</w:t>
      </w:r>
      <w:r w:rsidR="00295640">
        <w:t xml:space="preserve"> </w:t>
      </w:r>
      <w:r w:rsidR="00295640">
        <w:rPr>
          <w:i/>
          <w:iCs/>
          <w:lang w:val="en-US"/>
        </w:rPr>
        <w:t>U</w:t>
      </w:r>
      <w:r w:rsidRPr="00054AF5">
        <w:t xml:space="preserve"> </w:t>
      </w:r>
      <w:r w:rsidR="00FE478B">
        <w:t>в процессе анодирования</w:t>
      </w:r>
      <w:r w:rsidR="004968B8">
        <w:t xml:space="preserve"> (рис. 1а)</w:t>
      </w:r>
      <w:r w:rsidR="00295640">
        <w:t xml:space="preserve">. </w:t>
      </w:r>
      <w:r>
        <w:t xml:space="preserve">Анодирование проводили </w:t>
      </w:r>
      <w:r w:rsidR="00295640">
        <w:t xml:space="preserve">в 1 М </w:t>
      </w:r>
      <w:r w:rsidR="00295640">
        <w:rPr>
          <w:lang w:val="en-US"/>
        </w:rPr>
        <w:t>H</w:t>
      </w:r>
      <w:r w:rsidR="00295640">
        <w:rPr>
          <w:vertAlign w:val="subscript"/>
        </w:rPr>
        <w:t>3</w:t>
      </w:r>
      <w:r w:rsidR="00295640">
        <w:rPr>
          <w:lang w:val="en-US"/>
        </w:rPr>
        <w:t>PO</w:t>
      </w:r>
      <w:r w:rsidR="00295640">
        <w:rPr>
          <w:vertAlign w:val="subscript"/>
        </w:rPr>
        <w:t>3</w:t>
      </w:r>
      <w:r w:rsidR="00295640">
        <w:t xml:space="preserve"> </w:t>
      </w:r>
      <w:r w:rsidR="00A95B8C">
        <w:t>при 150 В с последующим</w:t>
      </w:r>
      <w:r w:rsidR="00295640">
        <w:t xml:space="preserve"> понижением от 150 В до 40 В со скоростями</w:t>
      </w:r>
      <w:r w:rsidR="0010684B">
        <w:t xml:space="preserve"> от</w:t>
      </w:r>
      <w:r w:rsidR="00295640">
        <w:t xml:space="preserve"> </w:t>
      </w:r>
      <w:r w:rsidR="00CA2D69">
        <w:t>25</w:t>
      </w:r>
      <w:r w:rsidR="00295640">
        <w:t xml:space="preserve"> </w:t>
      </w:r>
      <w:r w:rsidR="0010684B">
        <w:t>до</w:t>
      </w:r>
      <w:r w:rsidR="00295640">
        <w:t xml:space="preserve"> </w:t>
      </w:r>
      <w:r w:rsidR="00CA2D69">
        <w:t>550</w:t>
      </w:r>
      <w:r w:rsidR="00295640">
        <w:t xml:space="preserve"> </w:t>
      </w:r>
      <w:r w:rsidR="00CA2D69">
        <w:t>В·см</w:t>
      </w:r>
      <w:r w:rsidR="00CA2D69" w:rsidRPr="00613812">
        <w:rPr>
          <w:vertAlign w:val="superscript"/>
        </w:rPr>
        <w:t>2</w:t>
      </w:r>
      <w:r w:rsidR="00CA2D69">
        <w:t>/Кл</w:t>
      </w:r>
      <w:r w:rsidR="00273DF1">
        <w:t xml:space="preserve">, что соответствует толщине переходного слоя от </w:t>
      </w:r>
      <w:r w:rsidR="00560A9A" w:rsidRPr="00560A9A">
        <w:t>0,1</w:t>
      </w:r>
      <w:r w:rsidR="00273DF1">
        <w:t xml:space="preserve"> до </w:t>
      </w:r>
      <w:r w:rsidR="00560A9A" w:rsidRPr="00560A9A">
        <w:t>2</w:t>
      </w:r>
      <w:r w:rsidR="00273DF1">
        <w:t xml:space="preserve"> мкм. </w:t>
      </w:r>
      <w:r w:rsidR="00FE478B">
        <w:t>Установлено, что минимальная продолжительность с</w:t>
      </w:r>
      <w:r w:rsidR="005169BB">
        <w:t>нижени</w:t>
      </w:r>
      <w:r w:rsidR="00FE478B">
        <w:t>я</w:t>
      </w:r>
      <w:r w:rsidR="005169BB">
        <w:t xml:space="preserve"> напряжени</w:t>
      </w:r>
      <w:r w:rsidR="00E343EE">
        <w:t>я</w:t>
      </w:r>
      <w:r w:rsidR="005169BB">
        <w:t xml:space="preserve"> </w:t>
      </w:r>
      <w:r w:rsidR="00273DF1">
        <w:t>достигается</w:t>
      </w:r>
      <w:r w:rsidR="00E343EE">
        <w:t xml:space="preserve"> при скорости снижения </w:t>
      </w:r>
      <w:r w:rsidR="00E343EE" w:rsidRPr="009357F2">
        <w:rPr>
          <w:i/>
          <w:iCs/>
          <w:lang w:val="en-US"/>
        </w:rPr>
        <w:t>U</w:t>
      </w:r>
      <w:r w:rsidR="00E343EE" w:rsidRPr="00054AF5">
        <w:t xml:space="preserve">, </w:t>
      </w:r>
      <w:r w:rsidR="00E343EE">
        <w:t>равной 278 В·см</w:t>
      </w:r>
      <w:r w:rsidR="00E343EE" w:rsidRPr="00613812">
        <w:rPr>
          <w:vertAlign w:val="superscript"/>
        </w:rPr>
        <w:t>2</w:t>
      </w:r>
      <w:r w:rsidR="00E343EE">
        <w:t>/Кл.</w:t>
      </w:r>
      <w:r w:rsidR="00273DF1">
        <w:t xml:space="preserve"> </w:t>
      </w:r>
      <w:r w:rsidR="00B83D6A">
        <w:t>Фактическая т</w:t>
      </w:r>
      <w:r w:rsidR="00273DF1">
        <w:t>олщина образующегося переходного слоя в данном случае соста</w:t>
      </w:r>
      <w:r w:rsidR="00A83D7D">
        <w:t>вляет</w:t>
      </w:r>
      <w:r w:rsidR="00273DF1">
        <w:t xml:space="preserve"> </w:t>
      </w:r>
      <w:r w:rsidR="006C403E">
        <w:t xml:space="preserve">около 200 </w:t>
      </w:r>
      <w:r w:rsidR="002F46B0">
        <w:t>нм</w:t>
      </w:r>
      <w:r w:rsidR="00273DF1">
        <w:t>.</w:t>
      </w:r>
    </w:p>
    <w:p w14:paraId="3FE3C936" w14:textId="574C4AD2" w:rsidR="00F1415D" w:rsidRPr="00FE3F79" w:rsidRDefault="00FE3F79" w:rsidP="001E1941">
      <w:pPr>
        <w:contextualSpacing/>
        <w:jc w:val="both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5F0FDC5E" wp14:editId="6A572D85">
            <wp:simplePos x="0" y="0"/>
            <wp:positionH relativeFrom="margin">
              <wp:align>center</wp:align>
            </wp:positionH>
            <wp:positionV relativeFrom="paragraph">
              <wp:posOffset>1406525</wp:posOffset>
            </wp:positionV>
            <wp:extent cx="5831840" cy="174561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637">
        <w:t xml:space="preserve">При остановке анодирования в момент </w:t>
      </w:r>
      <w:r w:rsidR="00273DF1">
        <w:t>достижения</w:t>
      </w:r>
      <w:r w:rsidR="002A5637">
        <w:t xml:space="preserve"> 40 В</w:t>
      </w:r>
      <w:r w:rsidR="00273DF1">
        <w:t xml:space="preserve"> приводит к неровной</w:t>
      </w:r>
      <w:r w:rsidR="002A5637">
        <w:t xml:space="preserve"> нижн</w:t>
      </w:r>
      <w:r w:rsidR="00273DF1">
        <w:t>ей</w:t>
      </w:r>
      <w:r w:rsidR="002A5637">
        <w:t xml:space="preserve"> поверхность пленки АОА из-за перестройки пористой структуры</w:t>
      </w:r>
      <w:r w:rsidR="00273DF1">
        <w:t xml:space="preserve"> при</w:t>
      </w:r>
      <w:r w:rsidR="002A5637">
        <w:t xml:space="preserve"> изменени</w:t>
      </w:r>
      <w:r w:rsidR="00273DF1">
        <w:t>и</w:t>
      </w:r>
      <w:r w:rsidR="002A5637">
        <w:t xml:space="preserve"> </w:t>
      </w:r>
      <w:r w:rsidR="002A5637" w:rsidRPr="00054AF5">
        <w:rPr>
          <w:i/>
          <w:iCs/>
          <w:lang w:val="en-US"/>
        </w:rPr>
        <w:t>U</w:t>
      </w:r>
      <w:r w:rsidR="00273DF1">
        <w:rPr>
          <w:iCs/>
        </w:rPr>
        <w:t xml:space="preserve">. </w:t>
      </w:r>
      <w:r w:rsidR="00273DF1">
        <w:t xml:space="preserve">Об этом свидетельствует величина расстояние между </w:t>
      </w:r>
      <w:r w:rsidR="000D4EE6">
        <w:t xml:space="preserve">центрами </w:t>
      </w:r>
      <w:r w:rsidR="00273DF1">
        <w:t>соседни</w:t>
      </w:r>
      <w:r w:rsidR="000D4EE6">
        <w:t>х</w:t>
      </w:r>
      <w:r w:rsidR="00273DF1">
        <w:t xml:space="preserve"> пор</w:t>
      </w:r>
      <w:r w:rsidR="000D4EE6">
        <w:t xml:space="preserve"> (</w:t>
      </w:r>
      <w:r w:rsidR="000D4EE6" w:rsidRPr="00560A9A">
        <w:rPr>
          <w:i/>
          <w:lang w:val="en-US"/>
        </w:rPr>
        <w:t>D</w:t>
      </w:r>
      <w:r w:rsidR="000D4EE6" w:rsidRPr="00560A9A">
        <w:rPr>
          <w:vertAlign w:val="subscript"/>
          <w:lang w:val="en-US"/>
        </w:rPr>
        <w:t>int</w:t>
      </w:r>
      <w:r w:rsidR="000D4EE6" w:rsidRPr="00560A9A">
        <w:t>)</w:t>
      </w:r>
      <w:r w:rsidR="00273DF1" w:rsidRPr="00560A9A">
        <w:t xml:space="preserve"> </w:t>
      </w:r>
      <w:r w:rsidR="00560A9A" w:rsidRPr="00560A9A">
        <w:t>185±64</w:t>
      </w:r>
      <w:r w:rsidR="00273DF1" w:rsidRPr="00560A9A">
        <w:t xml:space="preserve"> нм</w:t>
      </w:r>
      <w:r w:rsidR="00273DF1">
        <w:t xml:space="preserve">, что больше равновесного значения для 40 В (около 100 нм). </w:t>
      </w:r>
      <w:r w:rsidR="00FA5E6A">
        <w:t xml:space="preserve">Данный недостаток устранили путем дополнительного анодирования при 40 В </w:t>
      </w:r>
      <w:r w:rsidR="00A17214">
        <w:t xml:space="preserve">с различной продолжительностью </w:t>
      </w:r>
      <w:r w:rsidR="00FA5E6A">
        <w:t>после окончания стадии снижения напряжения.</w:t>
      </w:r>
      <w:r w:rsidR="00273DF1">
        <w:t xml:space="preserve"> Это приводит к</w:t>
      </w:r>
      <w:r w:rsidR="000D4EE6" w:rsidRPr="00560A9A">
        <w:t xml:space="preserve"> </w:t>
      </w:r>
      <w:r w:rsidR="000D4EE6">
        <w:t>уменьшению шероховатости поверхности АОА (</w:t>
      </w:r>
      <w:r w:rsidR="004968B8">
        <w:t xml:space="preserve">рис. 1б) </w:t>
      </w:r>
      <w:r w:rsidR="000D4EE6">
        <w:t>и</w:t>
      </w:r>
      <w:r w:rsidR="009357F2">
        <w:t xml:space="preserve"> </w:t>
      </w:r>
      <w:r w:rsidR="000D4EE6">
        <w:t>уменьшению</w:t>
      </w:r>
      <w:r w:rsidR="000D4EE6" w:rsidRPr="00560A9A">
        <w:t xml:space="preserve"> </w:t>
      </w:r>
      <w:r w:rsidR="000D4EE6" w:rsidRPr="00F32E02">
        <w:rPr>
          <w:i/>
          <w:lang w:val="en-US"/>
        </w:rPr>
        <w:t>D</w:t>
      </w:r>
      <w:r w:rsidR="000D4EE6" w:rsidRPr="00F32E02">
        <w:rPr>
          <w:vertAlign w:val="subscript"/>
          <w:lang w:val="en-US"/>
        </w:rPr>
        <w:t>int</w:t>
      </w:r>
      <w:r w:rsidR="000D4EE6" w:rsidDel="00273DF1">
        <w:t xml:space="preserve"> </w:t>
      </w:r>
      <w:r w:rsidR="000D4EE6">
        <w:t xml:space="preserve">до </w:t>
      </w:r>
      <w:r w:rsidR="00560A9A">
        <w:t>12</w:t>
      </w:r>
      <w:r w:rsidR="00560A9A" w:rsidRPr="00560A9A">
        <w:t>0±35</w:t>
      </w:r>
      <w:r w:rsidR="000D4EE6">
        <w:t xml:space="preserve"> нм.</w:t>
      </w:r>
    </w:p>
    <w:p w14:paraId="3486C755" w14:textId="66D61894" w:rsidR="00116478" w:rsidRDefault="004A681E" w:rsidP="001E1941">
      <w:pPr>
        <w:contextualSpacing/>
        <w:jc w:val="both"/>
      </w:pPr>
      <w:r w:rsidRPr="00115CCF">
        <w:t>Рис. 1</w:t>
      </w:r>
      <w:r>
        <w:t xml:space="preserve"> Зависимость напряжения анодирования от толщины слоя АОА</w:t>
      </w:r>
      <w:r w:rsidR="000E48E9" w:rsidRPr="000E48E9">
        <w:t xml:space="preserve"> (</w:t>
      </w:r>
      <w:r w:rsidR="000E48E9">
        <w:t>а)</w:t>
      </w:r>
      <w:r>
        <w:t xml:space="preserve"> </w:t>
      </w:r>
      <w:r w:rsidR="000D4EE6">
        <w:t>и РЭМ изображени</w:t>
      </w:r>
      <w:r w:rsidR="000535BD">
        <w:t>я</w:t>
      </w:r>
      <w:r w:rsidR="000D4EE6">
        <w:t xml:space="preserve"> скол</w:t>
      </w:r>
      <w:r w:rsidR="000535BD">
        <w:t>ов</w:t>
      </w:r>
      <w:r w:rsidR="000D4EE6">
        <w:t xml:space="preserve"> АОА с ассиметричной структурой </w:t>
      </w:r>
      <w:r w:rsidR="000E48E9">
        <w:t>и дополнительным слоем АОА (толщина указана белым шрифтом), полученным при анодировании при 40 В</w:t>
      </w:r>
      <w:r w:rsidR="00C3694F">
        <w:t xml:space="preserve"> (б)</w:t>
      </w:r>
      <w:r w:rsidR="00273DF1">
        <w:t>.</w:t>
      </w:r>
    </w:p>
    <w:sectPr w:rsidR="00116478" w:rsidSect="00165386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DB5"/>
    <w:multiLevelType w:val="hybridMultilevel"/>
    <w:tmpl w:val="887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428785">
    <w:abstractNumId w:val="1"/>
  </w:num>
  <w:num w:numId="2" w16cid:durableId="1946039701">
    <w:abstractNumId w:val="2"/>
  </w:num>
  <w:num w:numId="3" w16cid:durableId="19120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11D44"/>
    <w:rsid w:val="000535BD"/>
    <w:rsid w:val="00054AF5"/>
    <w:rsid w:val="00063966"/>
    <w:rsid w:val="000662F9"/>
    <w:rsid w:val="00067652"/>
    <w:rsid w:val="00086081"/>
    <w:rsid w:val="000D4EE6"/>
    <w:rsid w:val="000E48E9"/>
    <w:rsid w:val="00101A1C"/>
    <w:rsid w:val="00103657"/>
    <w:rsid w:val="00103CA2"/>
    <w:rsid w:val="00106375"/>
    <w:rsid w:val="0010684B"/>
    <w:rsid w:val="00111415"/>
    <w:rsid w:val="00115CCF"/>
    <w:rsid w:val="00116478"/>
    <w:rsid w:val="00130241"/>
    <w:rsid w:val="00152692"/>
    <w:rsid w:val="00165386"/>
    <w:rsid w:val="001E1941"/>
    <w:rsid w:val="001E61C2"/>
    <w:rsid w:val="001F0493"/>
    <w:rsid w:val="002264EE"/>
    <w:rsid w:val="0023307C"/>
    <w:rsid w:val="00273DF1"/>
    <w:rsid w:val="00295640"/>
    <w:rsid w:val="00297AC9"/>
    <w:rsid w:val="002A5637"/>
    <w:rsid w:val="002B790C"/>
    <w:rsid w:val="002C679A"/>
    <w:rsid w:val="002F46B0"/>
    <w:rsid w:val="0031361E"/>
    <w:rsid w:val="003862DA"/>
    <w:rsid w:val="00391C38"/>
    <w:rsid w:val="003B76D6"/>
    <w:rsid w:val="00420EF0"/>
    <w:rsid w:val="004264A7"/>
    <w:rsid w:val="0043038B"/>
    <w:rsid w:val="004968B8"/>
    <w:rsid w:val="004A26A3"/>
    <w:rsid w:val="004A681E"/>
    <w:rsid w:val="004D72EB"/>
    <w:rsid w:val="004F0EDF"/>
    <w:rsid w:val="00513C95"/>
    <w:rsid w:val="005169BB"/>
    <w:rsid w:val="00522BF1"/>
    <w:rsid w:val="00556E34"/>
    <w:rsid w:val="00560A9A"/>
    <w:rsid w:val="00590166"/>
    <w:rsid w:val="005D022B"/>
    <w:rsid w:val="005E5BE9"/>
    <w:rsid w:val="00603535"/>
    <w:rsid w:val="00615B3C"/>
    <w:rsid w:val="00661B4A"/>
    <w:rsid w:val="0069427D"/>
    <w:rsid w:val="006C403E"/>
    <w:rsid w:val="006F7A19"/>
    <w:rsid w:val="007213E1"/>
    <w:rsid w:val="007354B8"/>
    <w:rsid w:val="007665AB"/>
    <w:rsid w:val="00775389"/>
    <w:rsid w:val="00781DC7"/>
    <w:rsid w:val="00797838"/>
    <w:rsid w:val="007C36D8"/>
    <w:rsid w:val="007F2744"/>
    <w:rsid w:val="00877995"/>
    <w:rsid w:val="008931BE"/>
    <w:rsid w:val="008C67E3"/>
    <w:rsid w:val="00921D45"/>
    <w:rsid w:val="00930CB2"/>
    <w:rsid w:val="009357F2"/>
    <w:rsid w:val="00957ECD"/>
    <w:rsid w:val="009A66DB"/>
    <w:rsid w:val="009B2F80"/>
    <w:rsid w:val="009B3300"/>
    <w:rsid w:val="009F3380"/>
    <w:rsid w:val="00A02163"/>
    <w:rsid w:val="00A17214"/>
    <w:rsid w:val="00A314FE"/>
    <w:rsid w:val="00A83D7D"/>
    <w:rsid w:val="00A95B8C"/>
    <w:rsid w:val="00AD0AC3"/>
    <w:rsid w:val="00AD6EF3"/>
    <w:rsid w:val="00B00278"/>
    <w:rsid w:val="00B83D6A"/>
    <w:rsid w:val="00BF36F8"/>
    <w:rsid w:val="00BF4622"/>
    <w:rsid w:val="00C255C5"/>
    <w:rsid w:val="00C3694F"/>
    <w:rsid w:val="00C514DD"/>
    <w:rsid w:val="00CA2D69"/>
    <w:rsid w:val="00CC792B"/>
    <w:rsid w:val="00CD00B1"/>
    <w:rsid w:val="00D22306"/>
    <w:rsid w:val="00D34496"/>
    <w:rsid w:val="00D42542"/>
    <w:rsid w:val="00D8121C"/>
    <w:rsid w:val="00E22189"/>
    <w:rsid w:val="00E343EE"/>
    <w:rsid w:val="00E45034"/>
    <w:rsid w:val="00E74069"/>
    <w:rsid w:val="00E7763E"/>
    <w:rsid w:val="00EB129F"/>
    <w:rsid w:val="00EB1F49"/>
    <w:rsid w:val="00ED6174"/>
    <w:rsid w:val="00F1415D"/>
    <w:rsid w:val="00F15C06"/>
    <w:rsid w:val="00F24481"/>
    <w:rsid w:val="00F26FCB"/>
    <w:rsid w:val="00F43B3A"/>
    <w:rsid w:val="00F865B3"/>
    <w:rsid w:val="00FA5E6A"/>
    <w:rsid w:val="00FB1509"/>
    <w:rsid w:val="00FD1FF5"/>
    <w:rsid w:val="00FE3F79"/>
    <w:rsid w:val="00FE478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A91D0F7-0086-4C07-AE0A-56CD01F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B8"/>
    <w:pPr>
      <w:ind w:firstLine="39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15B3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4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AF5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26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6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692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6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69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0175E-FAAA-4234-8726-FE4583A2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Chernoukhov</cp:lastModifiedBy>
  <cp:revision>4</cp:revision>
  <dcterms:created xsi:type="dcterms:W3CDTF">2024-03-17T21:16:00Z</dcterms:created>
  <dcterms:modified xsi:type="dcterms:W3CDTF">2024-03-17T21:18:00Z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