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9524" w14:textId="1452A5C5" w:rsidR="00CE4ED0" w:rsidRDefault="00A806F4" w:rsidP="00CE4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Рамановская</w:t>
      </w:r>
      <w:proofErr w:type="spellEnd"/>
      <w:r>
        <w:rPr>
          <w:b/>
          <w:color w:val="000000"/>
        </w:rPr>
        <w:t xml:space="preserve"> спектроскопия </w:t>
      </w:r>
      <w:r w:rsidRPr="00A806F4">
        <w:rPr>
          <w:b/>
          <w:color w:val="000000"/>
        </w:rPr>
        <w:t xml:space="preserve">монокристаллов </w:t>
      </w:r>
      <w:proofErr w:type="spellStart"/>
      <w:r w:rsidRPr="00A806F4">
        <w:rPr>
          <w:b/>
          <w:color w:val="000000"/>
        </w:rPr>
        <w:t>GaAs</w:t>
      </w:r>
      <w:proofErr w:type="spellEnd"/>
      <w:r w:rsidRPr="00A806F4">
        <w:rPr>
          <w:b/>
          <w:color w:val="000000"/>
        </w:rPr>
        <w:t>, полученных методом Чохральского</w:t>
      </w:r>
    </w:p>
    <w:p w14:paraId="348C786B" w14:textId="26F53251" w:rsidR="00CE4ED0" w:rsidRDefault="00CE4ED0" w:rsidP="00CE4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Чусовская К.А., Максимов А.Д., Тарасов Ю.И., </w:t>
      </w:r>
      <w:proofErr w:type="spellStart"/>
      <w:r>
        <w:rPr>
          <w:b/>
          <w:i/>
          <w:color w:val="000000"/>
        </w:rPr>
        <w:t>Санжаровский</w:t>
      </w:r>
      <w:proofErr w:type="spellEnd"/>
      <w:r>
        <w:rPr>
          <w:b/>
          <w:i/>
          <w:color w:val="000000"/>
        </w:rPr>
        <w:t xml:space="preserve"> Н.А</w:t>
      </w:r>
    </w:p>
    <w:p w14:paraId="0BF481C2" w14:textId="77777777" w:rsidR="00CE4ED0" w:rsidRDefault="00CE4ED0" w:rsidP="00CE4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 курс бакалавриата</w:t>
      </w:r>
    </w:p>
    <w:p w14:paraId="3E229DA2" w14:textId="27980E17" w:rsidR="00CE4ED0" w:rsidRPr="00391C38" w:rsidRDefault="00CE4ED0" w:rsidP="00CE4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МИРЭА – Российский технологический университет, Институт тонких химических технологий имени М.В. Ломоносова, Москва, Россия</w:t>
      </w:r>
    </w:p>
    <w:p w14:paraId="5106257E" w14:textId="2A1D3EB4" w:rsidR="00CE4ED0" w:rsidRPr="00466D85" w:rsidRDefault="00CE4ED0" w:rsidP="00B66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D92190">
        <w:rPr>
          <w:i/>
          <w:color w:val="000000"/>
          <w:lang w:val="en-US"/>
        </w:rPr>
        <w:t>E</w:t>
      </w:r>
      <w:r w:rsidRPr="002779BF">
        <w:rPr>
          <w:i/>
          <w:color w:val="000000"/>
        </w:rPr>
        <w:t>-</w:t>
      </w:r>
      <w:r w:rsidRPr="00D92190">
        <w:rPr>
          <w:i/>
          <w:color w:val="000000"/>
          <w:lang w:val="en-US"/>
        </w:rPr>
        <w:t>mail</w:t>
      </w:r>
      <w:r w:rsidRPr="00466D85">
        <w:rPr>
          <w:i/>
          <w:color w:val="000000" w:themeColor="text1"/>
        </w:rPr>
        <w:t xml:space="preserve">: </w:t>
      </w:r>
      <w:hyperlink r:id="rId6" w:history="1">
        <w:r w:rsidRPr="00466D85">
          <w:rPr>
            <w:rStyle w:val="a9"/>
            <w:i/>
            <w:color w:val="000000" w:themeColor="text1"/>
            <w:lang w:val="en-US"/>
          </w:rPr>
          <w:t>chusovskaya</w:t>
        </w:r>
        <w:r w:rsidRPr="00466D85">
          <w:rPr>
            <w:rStyle w:val="a9"/>
            <w:i/>
            <w:color w:val="000000" w:themeColor="text1"/>
          </w:rPr>
          <w:t>@</w:t>
        </w:r>
        <w:r w:rsidRPr="00466D85">
          <w:rPr>
            <w:rStyle w:val="a9"/>
            <w:i/>
            <w:color w:val="000000" w:themeColor="text1"/>
            <w:lang w:val="en-US"/>
          </w:rPr>
          <w:t>mirea</w:t>
        </w:r>
        <w:r w:rsidRPr="00466D85">
          <w:rPr>
            <w:rStyle w:val="a9"/>
            <w:i/>
            <w:color w:val="000000" w:themeColor="text1"/>
          </w:rPr>
          <w:t>.</w:t>
        </w:r>
        <w:proofErr w:type="spellStart"/>
        <w:r w:rsidRPr="00466D85">
          <w:rPr>
            <w:rStyle w:val="a9"/>
            <w:i/>
            <w:color w:val="000000" w:themeColor="text1"/>
            <w:lang w:val="en-US"/>
          </w:rPr>
          <w:t>ru</w:t>
        </w:r>
        <w:proofErr w:type="spellEnd"/>
      </w:hyperlink>
    </w:p>
    <w:p w14:paraId="0EFB53D1" w14:textId="5006EB3B" w:rsidR="00B25089" w:rsidRPr="00B25089" w:rsidRDefault="00B25089" w:rsidP="00466D85">
      <w:pPr>
        <w:ind w:firstLine="397"/>
        <w:jc w:val="both"/>
        <w:rPr>
          <w:rFonts w:eastAsiaTheme="minorEastAsia"/>
          <w:iCs/>
          <w:szCs w:val="28"/>
        </w:rPr>
      </w:pPr>
      <w:r w:rsidRPr="00B25089">
        <w:rPr>
          <w:rFonts w:eastAsiaTheme="minorEastAsia"/>
          <w:iCs/>
          <w:szCs w:val="28"/>
        </w:rPr>
        <w:t xml:space="preserve">В настоящее время арсенид галлия является основой для создания быстродействующих устройств микро-, </w:t>
      </w:r>
      <w:proofErr w:type="spellStart"/>
      <w:r w:rsidRPr="00B25089">
        <w:rPr>
          <w:rFonts w:eastAsiaTheme="minorEastAsia"/>
          <w:iCs/>
          <w:szCs w:val="28"/>
        </w:rPr>
        <w:t>опто</w:t>
      </w:r>
      <w:proofErr w:type="spellEnd"/>
      <w:r w:rsidRPr="00B25089">
        <w:rPr>
          <w:rFonts w:eastAsiaTheme="minorEastAsia"/>
          <w:iCs/>
          <w:szCs w:val="28"/>
        </w:rPr>
        <w:t xml:space="preserve">- и наноэлектроники. Полученные методом Чохральского объемные монокристаллы </w:t>
      </w:r>
      <w:proofErr w:type="spellStart"/>
      <w:r w:rsidRPr="00B25089">
        <w:rPr>
          <w:rFonts w:eastAsiaTheme="minorEastAsia"/>
          <w:iCs/>
          <w:szCs w:val="28"/>
        </w:rPr>
        <w:t>GaAs</w:t>
      </w:r>
      <w:proofErr w:type="spellEnd"/>
      <w:r w:rsidRPr="00B25089">
        <w:rPr>
          <w:rFonts w:eastAsiaTheme="minorEastAsia"/>
          <w:iCs/>
          <w:szCs w:val="28"/>
        </w:rPr>
        <w:t xml:space="preserve"> применяются в качестве подложек при последующем эпитаксиальном росте приборных структур. Так как при подобном росте эпитаксиальный слой «наследует» параметры подложки, то итоговые характеристики изделий сильно зависят от качества исходного монокристаллического </w:t>
      </w:r>
      <w:proofErr w:type="spellStart"/>
      <w:r w:rsidRPr="00B25089">
        <w:rPr>
          <w:rFonts w:eastAsiaTheme="minorEastAsia"/>
          <w:iCs/>
          <w:szCs w:val="28"/>
        </w:rPr>
        <w:t>GaAs</w:t>
      </w:r>
      <w:proofErr w:type="spellEnd"/>
      <w:r w:rsidRPr="00B25089">
        <w:rPr>
          <w:rFonts w:eastAsiaTheme="minorEastAsia"/>
          <w:iCs/>
          <w:szCs w:val="28"/>
        </w:rPr>
        <w:t xml:space="preserve">. </w:t>
      </w:r>
      <w:proofErr w:type="spellStart"/>
      <w:r w:rsidRPr="00B25089">
        <w:rPr>
          <w:rFonts w:eastAsiaTheme="minorEastAsia"/>
          <w:iCs/>
          <w:szCs w:val="28"/>
        </w:rPr>
        <w:t>Рамановская</w:t>
      </w:r>
      <w:proofErr w:type="spellEnd"/>
      <w:r w:rsidRPr="00B25089">
        <w:rPr>
          <w:rFonts w:eastAsiaTheme="minorEastAsia"/>
          <w:iCs/>
          <w:szCs w:val="28"/>
        </w:rPr>
        <w:t xml:space="preserve"> спектроскопия является современным и экспрессным методом исследования веществ. Она позволяет получать информацию о структуре и свойствах материалов, основываясь на их спектрах испускания. Легирование донорными или акцепторными примесями, наличие внутренних напряжений, дефектов и деформаций оказывает значительное влияние на колебательные и электронные состояния, регистрируемые методом от образца. В результате спектроскопия комбинационного рассеяния света (КР) представляет широкие возможности для исследования полупроводниковых материалов и структур.</w:t>
      </w:r>
    </w:p>
    <w:p w14:paraId="48706293" w14:textId="2E6DF1F0" w:rsidR="00E577E2" w:rsidRDefault="00B25089" w:rsidP="00466D85">
      <w:pPr>
        <w:ind w:firstLine="397"/>
        <w:jc w:val="both"/>
        <w:rPr>
          <w:szCs w:val="28"/>
        </w:rPr>
      </w:pPr>
      <w:r w:rsidRPr="00B25089">
        <w:rPr>
          <w:rFonts w:eastAsiaTheme="minorEastAsia"/>
          <w:iCs/>
          <w:szCs w:val="28"/>
        </w:rPr>
        <w:t xml:space="preserve">Исследованы спектры комбинационного рассеяния света, полученные на кристаллическом </w:t>
      </w:r>
      <w:r w:rsidR="006E00B5">
        <w:rPr>
          <w:rFonts w:eastAsiaTheme="minorEastAsia"/>
          <w:iCs/>
          <w:szCs w:val="28"/>
          <w:lang w:val="en-US"/>
        </w:rPr>
        <w:t>GaAs</w:t>
      </w:r>
      <w:r w:rsidRPr="00B25089">
        <w:rPr>
          <w:rFonts w:eastAsiaTheme="minorEastAsia"/>
          <w:iCs/>
          <w:szCs w:val="28"/>
        </w:rPr>
        <w:t xml:space="preserve">, выращенном методом Чохральского. </w:t>
      </w:r>
      <w:r w:rsidR="0089373A">
        <w:rPr>
          <w:rFonts w:eastAsiaTheme="minorEastAsia"/>
          <w:iCs/>
          <w:szCs w:val="28"/>
        </w:rPr>
        <w:t>С</w:t>
      </w:r>
      <w:r w:rsidR="008C6F1C">
        <w:rPr>
          <w:rFonts w:eastAsiaTheme="minorEastAsia"/>
          <w:iCs/>
          <w:szCs w:val="28"/>
        </w:rPr>
        <w:t>пектр</w:t>
      </w:r>
      <w:r w:rsidR="0089373A">
        <w:rPr>
          <w:rFonts w:eastAsiaTheme="minorEastAsia"/>
          <w:iCs/>
          <w:szCs w:val="28"/>
        </w:rPr>
        <w:t>ы</w:t>
      </w:r>
      <w:r w:rsidR="008C6F1C">
        <w:rPr>
          <w:rFonts w:eastAsiaTheme="minorEastAsia"/>
          <w:iCs/>
          <w:szCs w:val="28"/>
        </w:rPr>
        <w:t xml:space="preserve"> </w:t>
      </w:r>
      <w:r w:rsidR="002779BF">
        <w:rPr>
          <w:rFonts w:eastAsiaTheme="minorEastAsia"/>
          <w:iCs/>
          <w:szCs w:val="28"/>
        </w:rPr>
        <w:t xml:space="preserve">комбинационного рассеяния </w:t>
      </w:r>
      <w:r w:rsidR="0089373A">
        <w:rPr>
          <w:rFonts w:eastAsiaTheme="minorEastAsia"/>
          <w:iCs/>
          <w:szCs w:val="28"/>
        </w:rPr>
        <w:t xml:space="preserve">измерялись </w:t>
      </w:r>
      <w:r w:rsidR="008C6F1C">
        <w:rPr>
          <w:rFonts w:eastAsiaTheme="minorEastAsia"/>
          <w:iCs/>
          <w:szCs w:val="28"/>
        </w:rPr>
        <w:t xml:space="preserve">на микроскопе </w:t>
      </w:r>
      <w:proofErr w:type="spellStart"/>
      <w:r w:rsidR="008C6F1C">
        <w:rPr>
          <w:rFonts w:eastAsiaTheme="minorEastAsia"/>
          <w:iCs/>
          <w:szCs w:val="28"/>
          <w:lang w:val="en-US"/>
        </w:rPr>
        <w:t>Confotec</w:t>
      </w:r>
      <w:proofErr w:type="spellEnd"/>
      <w:r w:rsidR="008C6F1C" w:rsidRPr="001F2017">
        <w:rPr>
          <w:rFonts w:eastAsiaTheme="minorEastAsia"/>
          <w:iCs/>
          <w:szCs w:val="28"/>
        </w:rPr>
        <w:t xml:space="preserve"> </w:t>
      </w:r>
      <w:r w:rsidR="008C6F1C">
        <w:rPr>
          <w:rFonts w:eastAsiaTheme="minorEastAsia"/>
          <w:iCs/>
          <w:szCs w:val="28"/>
          <w:lang w:val="en-US"/>
        </w:rPr>
        <w:t>DUO</w:t>
      </w:r>
      <w:r w:rsidR="0089373A">
        <w:rPr>
          <w:rFonts w:eastAsiaTheme="minorEastAsia"/>
          <w:iCs/>
          <w:szCs w:val="28"/>
        </w:rPr>
        <w:t xml:space="preserve"> при </w:t>
      </w:r>
      <w:r w:rsidR="002779BF">
        <w:rPr>
          <w:rFonts w:eastAsiaTheme="minorEastAsia"/>
          <w:iCs/>
          <w:szCs w:val="28"/>
        </w:rPr>
        <w:t>стандартных</w:t>
      </w:r>
      <w:r w:rsidR="0089373A">
        <w:rPr>
          <w:rFonts w:eastAsiaTheme="minorEastAsia"/>
          <w:iCs/>
          <w:szCs w:val="28"/>
        </w:rPr>
        <w:t xml:space="preserve"> условиях с </w:t>
      </w:r>
      <w:r w:rsidR="0089373A">
        <w:rPr>
          <w:rFonts w:eastAsiaTheme="minorEastAsia"/>
          <w:iCs/>
          <w:szCs w:val="28"/>
        </w:rPr>
        <w:sym w:font="Symbol" w:char="F06C"/>
      </w:r>
      <w:r w:rsidR="0089373A">
        <w:rPr>
          <w:rFonts w:eastAsiaTheme="minorEastAsia"/>
          <w:iCs/>
          <w:szCs w:val="28"/>
        </w:rPr>
        <w:t>=532нм</w:t>
      </w:r>
      <w:r w:rsidR="008C6F1C" w:rsidRPr="008C6F1C">
        <w:rPr>
          <w:rFonts w:eastAsiaTheme="minorEastAsia"/>
          <w:iCs/>
          <w:szCs w:val="28"/>
        </w:rPr>
        <w:t xml:space="preserve">. </w:t>
      </w:r>
      <w:r w:rsidR="00E577E2">
        <w:rPr>
          <w:szCs w:val="28"/>
        </w:rPr>
        <w:t xml:space="preserve">Частоты </w:t>
      </w:r>
      <w:proofErr w:type="spellStart"/>
      <w:r w:rsidR="00E577E2">
        <w:rPr>
          <w:szCs w:val="28"/>
        </w:rPr>
        <w:t>плазмонных</w:t>
      </w:r>
      <w:proofErr w:type="spellEnd"/>
      <w:r w:rsidR="00E577E2">
        <w:rPr>
          <w:szCs w:val="28"/>
        </w:rPr>
        <w:t xml:space="preserve"> колебаний рассчит</w:t>
      </w:r>
      <w:r w:rsidR="008C6F1C">
        <w:rPr>
          <w:szCs w:val="28"/>
        </w:rPr>
        <w:t>ывались</w:t>
      </w:r>
      <w:r w:rsidR="00E577E2">
        <w:rPr>
          <w:szCs w:val="28"/>
        </w:rPr>
        <w:t xml:space="preserve"> по уравнению </w:t>
      </w:r>
      <w:r w:rsidR="00E577E2" w:rsidRPr="00B67B6E">
        <w:rPr>
          <w:szCs w:val="28"/>
        </w:rPr>
        <w:t>[</w:t>
      </w:r>
      <w:r w:rsidR="002779BF">
        <w:rPr>
          <w:szCs w:val="28"/>
        </w:rPr>
        <w:t>1</w:t>
      </w:r>
      <w:r w:rsidR="00E577E2" w:rsidRPr="00B67B6E">
        <w:rPr>
          <w:szCs w:val="28"/>
        </w:rPr>
        <w:t>]:</w:t>
      </w:r>
    </w:p>
    <w:p w14:paraId="1A828609" w14:textId="1F740088" w:rsidR="00E577E2" w:rsidRPr="00466D85" w:rsidRDefault="00466D85" w:rsidP="00466D85">
      <w:pPr>
        <w:ind w:firstLine="397"/>
        <w:jc w:val="center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Cs w:val="28"/>
              </w:rPr>
              <m:t>±</m:t>
            </m:r>
          </m:sub>
          <m:sup>
            <m:r>
              <w:rPr>
                <w:rFonts w:ascii="Cambria Math" w:hAnsi="Cambria Math"/>
                <w:szCs w:val="28"/>
              </w:rPr>
              <m:t>2</m:t>
            </m:r>
          </m:sup>
        </m:sSubSup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LO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szCs w:val="28"/>
          </w:rPr>
          <m:t>±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LO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Cs w:val="28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-4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TO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Cs w:val="28"/>
          </w:rPr>
          <m:t xml:space="preserve"> ,    где 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Cs w:val="28"/>
              </w:rPr>
              <m:t>p</m:t>
            </m:r>
          </m:sub>
        </m:sSub>
        <m: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opt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n</m:t>
                    </m:r>
                  </m:sub>
                </m:sSub>
              </m:den>
            </m:f>
          </m:e>
        </m:rad>
      </m:oMath>
      <w:r>
        <w:rPr>
          <w:rFonts w:eastAsiaTheme="minorEastAsia"/>
          <w:szCs w:val="28"/>
        </w:rPr>
        <w:tab/>
        <w:t>(1)</w:t>
      </w:r>
    </w:p>
    <w:p w14:paraId="53C90BEB" w14:textId="2B542C04" w:rsidR="008C6F1C" w:rsidRDefault="002651E5" w:rsidP="00466D85">
      <w:pPr>
        <w:ind w:firstLine="397"/>
        <w:jc w:val="both"/>
        <w:rPr>
          <w:rFonts w:eastAsiaTheme="minorEastAsia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12B9551" wp14:editId="063B5B14">
            <wp:simplePos x="0" y="0"/>
            <wp:positionH relativeFrom="margin">
              <wp:posOffset>2679065</wp:posOffset>
            </wp:positionH>
            <wp:positionV relativeFrom="paragraph">
              <wp:posOffset>374650</wp:posOffset>
            </wp:positionV>
            <wp:extent cx="3169920" cy="2113915"/>
            <wp:effectExtent l="0" t="0" r="0" b="635"/>
            <wp:wrapTight wrapText="bothSides">
              <wp:wrapPolygon edited="0">
                <wp:start x="0" y="0"/>
                <wp:lineTo x="0" y="21412"/>
                <wp:lineTo x="21418" y="21412"/>
                <wp:lineTo x="2141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4B82A88" wp14:editId="4E61B29D">
            <wp:simplePos x="0" y="0"/>
            <wp:positionH relativeFrom="margin">
              <wp:posOffset>58521</wp:posOffset>
            </wp:positionH>
            <wp:positionV relativeFrom="paragraph">
              <wp:posOffset>397815</wp:posOffset>
            </wp:positionV>
            <wp:extent cx="2515870" cy="2103120"/>
            <wp:effectExtent l="0" t="0" r="0" b="0"/>
            <wp:wrapTopAndBottom/>
            <wp:docPr id="135230487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04877" name="Рисунок 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" t="1387" r="1900" b="2569"/>
                    <a:stretch/>
                  </pic:blipFill>
                  <pic:spPr bwMode="auto">
                    <a:xfrm>
                      <a:off x="0" y="0"/>
                      <a:ext cx="2515870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F1C" w:rsidRPr="00B67B6E">
        <w:rPr>
          <w:rFonts w:eastAsiaTheme="minorEastAsia"/>
          <w:szCs w:val="28"/>
        </w:rPr>
        <w:t xml:space="preserve">Частоты нормальных мод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Cs w:val="28"/>
              </w:rPr>
              <m:t>LO</m:t>
            </m:r>
          </m:sub>
          <m:sup>
            <m:r>
              <w:rPr>
                <w:rFonts w:ascii="Cambria Math" w:hAnsi="Cambria Math"/>
                <w:szCs w:val="28"/>
              </w:rPr>
              <m:t xml:space="preserve"> </m:t>
            </m:r>
          </m:sup>
        </m:sSubSup>
      </m:oMath>
      <w:r w:rsidR="008C6F1C" w:rsidRPr="00B67B6E">
        <w:rPr>
          <w:rFonts w:eastAsiaTheme="minorEastAsia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Cs w:val="28"/>
              </w:rPr>
              <m:t>TO</m:t>
            </m:r>
          </m:sub>
          <m:sup>
            <m:r>
              <w:rPr>
                <w:rFonts w:ascii="Cambria Math" w:hAnsi="Cambria Math"/>
                <w:szCs w:val="28"/>
              </w:rPr>
              <m:t xml:space="preserve"> </m:t>
            </m:r>
          </m:sup>
        </m:sSubSup>
      </m:oMath>
      <w:r w:rsidR="008C6F1C" w:rsidRPr="00B67B6E">
        <w:rPr>
          <w:rFonts w:eastAsiaTheme="minorEastAsia"/>
          <w:szCs w:val="28"/>
        </w:rPr>
        <w:t xml:space="preserve"> получены из измерений спектров КР образца нелегированного </w:t>
      </w:r>
      <w:r w:rsidR="008C6F1C" w:rsidRPr="00B67B6E">
        <w:rPr>
          <w:rFonts w:eastAsiaTheme="minorEastAsia"/>
          <w:szCs w:val="28"/>
          <w:lang w:val="en-US"/>
        </w:rPr>
        <w:t>GaAs</w:t>
      </w:r>
      <w:r w:rsidR="008C6F1C" w:rsidRPr="00B67B6E">
        <w:rPr>
          <w:rFonts w:eastAsiaTheme="minorEastAsia"/>
          <w:szCs w:val="28"/>
        </w:rPr>
        <w:t xml:space="preserve"> с низкой концентрацией дефектов.</w:t>
      </w:r>
    </w:p>
    <w:p w14:paraId="076D1B84" w14:textId="7A0F3454" w:rsidR="002779BF" w:rsidRPr="00B66B3D" w:rsidRDefault="002779BF" w:rsidP="002779BF">
      <w:pPr>
        <w:pStyle w:val="ab"/>
        <w:spacing w:after="0"/>
        <w:ind w:right="266"/>
        <w:jc w:val="center"/>
        <w:rPr>
          <w:i w:val="0"/>
          <w:iCs w:val="0"/>
          <w:noProof/>
          <w:color w:val="000000" w:themeColor="text1"/>
          <w:sz w:val="24"/>
          <w:szCs w:val="24"/>
        </w:rPr>
      </w:pPr>
      <w:r w:rsidRPr="00630DAB">
        <w:rPr>
          <w:i w:val="0"/>
          <w:iCs w:val="0"/>
          <w:color w:val="000000" w:themeColor="text1"/>
          <w:sz w:val="24"/>
          <w:szCs w:val="24"/>
        </w:rPr>
        <w:t>Рис</w:t>
      </w:r>
      <w:r>
        <w:rPr>
          <w:i w:val="0"/>
          <w:iCs w:val="0"/>
          <w:color w:val="000000" w:themeColor="text1"/>
          <w:sz w:val="24"/>
          <w:szCs w:val="24"/>
        </w:rPr>
        <w:t>.</w:t>
      </w:r>
      <w:r w:rsidRPr="00630DAB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630DAB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630DAB">
        <w:rPr>
          <w:i w:val="0"/>
          <w:iCs w:val="0"/>
          <w:color w:val="000000" w:themeColor="text1"/>
          <w:sz w:val="24"/>
          <w:szCs w:val="24"/>
        </w:rPr>
        <w:instrText xml:space="preserve"> SEQ Рисунок \* ARABIC </w:instrText>
      </w:r>
      <w:r w:rsidRPr="00630DAB">
        <w:rPr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630DAB">
        <w:rPr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i w:val="0"/>
          <w:iCs w:val="0"/>
          <w:color w:val="000000" w:themeColor="text1"/>
          <w:sz w:val="24"/>
          <w:szCs w:val="24"/>
        </w:rPr>
        <w:t xml:space="preserve">. </w:t>
      </w:r>
      <w:r w:rsidRPr="00B66B3D">
        <w:rPr>
          <w:b/>
          <w:bCs/>
          <w:i w:val="0"/>
          <w:iCs w:val="0"/>
          <w:color w:val="000000" w:themeColor="text1"/>
          <w:sz w:val="24"/>
          <w:szCs w:val="24"/>
        </w:rPr>
        <w:t>а)</w:t>
      </w:r>
      <w:r w:rsidRPr="00B66B3D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2651E5" w:rsidRPr="002651E5">
        <w:rPr>
          <w:rFonts w:eastAsiaTheme="minorEastAsia"/>
          <w:i w:val="0"/>
          <w:iCs w:val="0"/>
          <w:color w:val="auto"/>
          <w:sz w:val="24"/>
          <w:szCs w:val="24"/>
        </w:rPr>
        <w:t xml:space="preserve">Зависимости частот </w:t>
      </w:r>
      <w:proofErr w:type="spellStart"/>
      <w:r w:rsidR="002651E5" w:rsidRPr="002651E5">
        <w:rPr>
          <w:rFonts w:eastAsiaTheme="minorEastAsia"/>
          <w:i w:val="0"/>
          <w:iCs w:val="0"/>
          <w:color w:val="auto"/>
          <w:sz w:val="24"/>
          <w:szCs w:val="24"/>
        </w:rPr>
        <w:t>плазмонной</w:t>
      </w:r>
      <w:proofErr w:type="spellEnd"/>
      <w:r w:rsidR="002651E5" w:rsidRPr="002651E5">
        <w:rPr>
          <w:rFonts w:eastAsiaTheme="minorEastAsia"/>
          <w:i w:val="0"/>
          <w:iCs w:val="0"/>
          <w:color w:val="auto"/>
          <w:sz w:val="24"/>
          <w:szCs w:val="24"/>
        </w:rPr>
        <w:t xml:space="preserve"> моды </w:t>
      </w:r>
      <m:oMath>
        <m:sSub>
          <m:sSubPr>
            <m:ctrlPr>
              <w:rPr>
                <w:rFonts w:ascii="Cambria Math" w:hAnsi="Cambria Math"/>
                <w:i w:val="0"/>
                <w:iCs w:val="0"/>
                <w:color w:val="auto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4"/>
                <w:lang w:val="en-US"/>
              </w:rPr>
              <m:t>p</m:t>
            </m:r>
          </m:sub>
        </m:sSub>
      </m:oMath>
      <w:r w:rsidR="002651E5" w:rsidRPr="002651E5">
        <w:rPr>
          <w:rFonts w:eastAsiaTheme="minorEastAsia"/>
          <w:i w:val="0"/>
          <w:iCs w:val="0"/>
          <w:color w:val="auto"/>
          <w:sz w:val="24"/>
          <w:szCs w:val="24"/>
        </w:rPr>
        <w:t xml:space="preserve">, и плазмон-фононных мод </w:t>
      </w:r>
      <m:oMath>
        <m:sSub>
          <m:sSubPr>
            <m:ctrlPr>
              <w:rPr>
                <w:rFonts w:ascii="Cambria Math" w:hAnsi="Cambria Math"/>
                <w:i w:val="0"/>
                <w:iCs w:val="0"/>
                <w:color w:val="auto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4"/>
              </w:rPr>
              <m:t>-</m:t>
            </m:r>
          </m:sub>
        </m:sSub>
      </m:oMath>
      <w:r w:rsidR="002651E5" w:rsidRPr="002651E5">
        <w:rPr>
          <w:rFonts w:eastAsiaTheme="minorEastAsia"/>
          <w:i w:val="0"/>
          <w:iCs w:val="0"/>
          <w:color w:val="auto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i w:val="0"/>
                <w:iCs w:val="0"/>
                <w:color w:val="auto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4"/>
              </w:rPr>
              <m:t>+</m:t>
            </m:r>
          </m:sub>
        </m:sSub>
      </m:oMath>
      <w:r w:rsidR="002651E5" w:rsidRPr="002651E5">
        <w:rPr>
          <w:rFonts w:eastAsiaTheme="minorEastAsia"/>
          <w:i w:val="0"/>
          <w:iCs w:val="0"/>
          <w:color w:val="auto"/>
          <w:sz w:val="24"/>
          <w:szCs w:val="24"/>
        </w:rPr>
        <w:t xml:space="preserve"> от концентрации носителей заряда.</w:t>
      </w:r>
      <w:r w:rsidRPr="002651E5">
        <w:rPr>
          <w:i w:val="0"/>
          <w:iCs w:val="0"/>
          <w:color w:val="auto"/>
          <w:sz w:val="24"/>
          <w:szCs w:val="24"/>
        </w:rPr>
        <w:t xml:space="preserve">; </w:t>
      </w:r>
      <w:r w:rsidRPr="00B66B3D">
        <w:rPr>
          <w:b/>
          <w:bCs/>
          <w:i w:val="0"/>
          <w:iCs w:val="0"/>
          <w:color w:val="000000" w:themeColor="text1"/>
          <w:sz w:val="24"/>
          <w:szCs w:val="24"/>
        </w:rPr>
        <w:t>б)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2651E5" w:rsidRPr="002651E5">
        <w:rPr>
          <w:i w:val="0"/>
          <w:iCs w:val="0"/>
          <w:color w:val="000000" w:themeColor="text1"/>
          <w:sz w:val="24"/>
          <w:szCs w:val="24"/>
        </w:rPr>
        <w:t xml:space="preserve">Микрофотографии поверхности образца </w:t>
      </w:r>
      <w:proofErr w:type="spellStart"/>
      <w:r w:rsidR="002651E5" w:rsidRPr="002651E5">
        <w:rPr>
          <w:i w:val="0"/>
          <w:iCs w:val="0"/>
          <w:color w:val="000000" w:themeColor="text1"/>
          <w:sz w:val="24"/>
          <w:szCs w:val="24"/>
        </w:rPr>
        <w:t>GaAs</w:t>
      </w:r>
      <w:proofErr w:type="spellEnd"/>
      <w:r w:rsidR="002651E5" w:rsidRPr="002651E5">
        <w:rPr>
          <w:i w:val="0"/>
          <w:iCs w:val="0"/>
          <w:color w:val="000000" w:themeColor="text1"/>
          <w:sz w:val="24"/>
          <w:szCs w:val="24"/>
        </w:rPr>
        <w:t>.</w:t>
      </w:r>
    </w:p>
    <w:p w14:paraId="7269C27B" w14:textId="30128126" w:rsidR="002779BF" w:rsidRPr="002779BF" w:rsidRDefault="006E00B5" w:rsidP="00466D85">
      <w:pPr>
        <w:ind w:firstLine="397"/>
        <w:jc w:val="both"/>
      </w:pPr>
      <w:r w:rsidRPr="006E00B5">
        <w:t xml:space="preserve">Рассчитанные частоты связанных плазмон-фононных мод хорошо согласуются с результатами проведенных экспериментов. Показана возможность применения </w:t>
      </w:r>
      <w:proofErr w:type="spellStart"/>
      <w:r w:rsidRPr="006E00B5">
        <w:t>Рамановской</w:t>
      </w:r>
      <w:proofErr w:type="spellEnd"/>
      <w:r w:rsidRPr="006E00B5">
        <w:t xml:space="preserve"> спектроскопии для идентификации дефектной структуры </w:t>
      </w:r>
      <w:proofErr w:type="spellStart"/>
      <w:r w:rsidRPr="006E00B5">
        <w:t>GaAs</w:t>
      </w:r>
      <w:proofErr w:type="spellEnd"/>
      <w:r w:rsidRPr="006E00B5">
        <w:t xml:space="preserve"> </w:t>
      </w:r>
      <w:r>
        <w:t>и определения влияния легирования примесями</w:t>
      </w:r>
      <w:r w:rsidR="002779BF">
        <w:t xml:space="preserve"> </w:t>
      </w:r>
      <w:r w:rsidR="002779BF" w:rsidRPr="002779BF">
        <w:t>[2].</w:t>
      </w:r>
    </w:p>
    <w:p w14:paraId="4B40EE8D" w14:textId="56CD473A" w:rsidR="00684956" w:rsidRPr="00466D85" w:rsidRDefault="00684956" w:rsidP="0027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D136A2F" w14:textId="25E76A20" w:rsidR="002779BF" w:rsidRPr="002779BF" w:rsidRDefault="00466D85" w:rsidP="00466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66D85">
        <w:rPr>
          <w:color w:val="000000"/>
          <w:lang w:val="en-US"/>
        </w:rPr>
        <w:t xml:space="preserve">1. </w:t>
      </w:r>
      <w:proofErr w:type="spellStart"/>
      <w:r w:rsidR="002779BF" w:rsidRPr="002779BF">
        <w:rPr>
          <w:color w:val="000000"/>
          <w:lang w:val="en-US"/>
        </w:rPr>
        <w:t>Juanmei</w:t>
      </w:r>
      <w:proofErr w:type="spellEnd"/>
      <w:r w:rsidR="002779BF" w:rsidRPr="002779BF">
        <w:rPr>
          <w:color w:val="000000"/>
          <w:lang w:val="en-US"/>
        </w:rPr>
        <w:t xml:space="preserve"> Duan et al 2021 New J. Phys. 23 083034</w:t>
      </w:r>
    </w:p>
    <w:p w14:paraId="31A7EEFD" w14:textId="366ED29F" w:rsidR="00684956" w:rsidRPr="00684956" w:rsidRDefault="00466D85" w:rsidP="00466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66D85">
        <w:rPr>
          <w:color w:val="000000"/>
          <w:lang w:val="en-US"/>
        </w:rPr>
        <w:t xml:space="preserve">2. </w:t>
      </w:r>
      <w:proofErr w:type="spellStart"/>
      <w:r w:rsidR="00684956" w:rsidRPr="00684956">
        <w:rPr>
          <w:color w:val="000000"/>
          <w:lang w:val="en-US"/>
        </w:rPr>
        <w:t>Böer</w:t>
      </w:r>
      <w:proofErr w:type="spellEnd"/>
      <w:r w:rsidR="00684956" w:rsidRPr="00684956">
        <w:rPr>
          <w:color w:val="000000"/>
          <w:lang w:val="en-US"/>
        </w:rPr>
        <w:t xml:space="preserve">, K.W., Pohl, U.W. (2014). Properties and Growth of Semiconductors. In: Semiconductor Physics. Springer, Cham. </w:t>
      </w:r>
      <w:hyperlink r:id="rId9" w:history="1">
        <w:r w:rsidR="00684956" w:rsidRPr="00466D85">
          <w:rPr>
            <w:rStyle w:val="a9"/>
            <w:color w:val="000000" w:themeColor="text1"/>
            <w:lang w:val="en-US"/>
          </w:rPr>
          <w:t>https://doi.org/10.1007/978-3-319-06540-3_1-1</w:t>
        </w:r>
      </w:hyperlink>
    </w:p>
    <w:sectPr w:rsidR="00684956" w:rsidRPr="00684956" w:rsidSect="008B2243">
      <w:pgSz w:w="11906" w:h="16838"/>
      <w:pgMar w:top="1134" w:right="133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971B4"/>
    <w:multiLevelType w:val="hybridMultilevel"/>
    <w:tmpl w:val="A94E8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225811">
    <w:abstractNumId w:val="1"/>
  </w:num>
  <w:num w:numId="2" w16cid:durableId="1915973297">
    <w:abstractNumId w:val="2"/>
  </w:num>
  <w:num w:numId="3" w16cid:durableId="4518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6F19"/>
    <w:rsid w:val="00063966"/>
    <w:rsid w:val="00086081"/>
    <w:rsid w:val="00101A1C"/>
    <w:rsid w:val="00103657"/>
    <w:rsid w:val="00106375"/>
    <w:rsid w:val="00116478"/>
    <w:rsid w:val="00130241"/>
    <w:rsid w:val="001562DA"/>
    <w:rsid w:val="001E61C2"/>
    <w:rsid w:val="001F0493"/>
    <w:rsid w:val="001F384E"/>
    <w:rsid w:val="002264EE"/>
    <w:rsid w:val="0023307C"/>
    <w:rsid w:val="002651E5"/>
    <w:rsid w:val="002779BF"/>
    <w:rsid w:val="0031361E"/>
    <w:rsid w:val="00391C38"/>
    <w:rsid w:val="003B76D6"/>
    <w:rsid w:val="004207ED"/>
    <w:rsid w:val="00466D85"/>
    <w:rsid w:val="004A26A3"/>
    <w:rsid w:val="004A4BB0"/>
    <w:rsid w:val="004F0EDF"/>
    <w:rsid w:val="00522BF1"/>
    <w:rsid w:val="00590166"/>
    <w:rsid w:val="005D022B"/>
    <w:rsid w:val="005E5BE9"/>
    <w:rsid w:val="00630DAB"/>
    <w:rsid w:val="00684956"/>
    <w:rsid w:val="0069427D"/>
    <w:rsid w:val="006E00B5"/>
    <w:rsid w:val="006F7A19"/>
    <w:rsid w:val="007213E1"/>
    <w:rsid w:val="0072668D"/>
    <w:rsid w:val="00775389"/>
    <w:rsid w:val="00797838"/>
    <w:rsid w:val="007C36D8"/>
    <w:rsid w:val="007F2744"/>
    <w:rsid w:val="008772F0"/>
    <w:rsid w:val="008931BE"/>
    <w:rsid w:val="0089373A"/>
    <w:rsid w:val="008B2243"/>
    <w:rsid w:val="008C67E3"/>
    <w:rsid w:val="008C6F1C"/>
    <w:rsid w:val="00921D45"/>
    <w:rsid w:val="009A66DB"/>
    <w:rsid w:val="009B2F80"/>
    <w:rsid w:val="009B3300"/>
    <w:rsid w:val="009F3380"/>
    <w:rsid w:val="00A02163"/>
    <w:rsid w:val="00A179D5"/>
    <w:rsid w:val="00A314FE"/>
    <w:rsid w:val="00A806F4"/>
    <w:rsid w:val="00B25089"/>
    <w:rsid w:val="00B66B3D"/>
    <w:rsid w:val="00B67B6E"/>
    <w:rsid w:val="00BA3E8B"/>
    <w:rsid w:val="00BE37F1"/>
    <w:rsid w:val="00BF36F8"/>
    <w:rsid w:val="00BF4622"/>
    <w:rsid w:val="00C644D2"/>
    <w:rsid w:val="00CD00B1"/>
    <w:rsid w:val="00CE4ED0"/>
    <w:rsid w:val="00D22306"/>
    <w:rsid w:val="00D42542"/>
    <w:rsid w:val="00D8121C"/>
    <w:rsid w:val="00D92190"/>
    <w:rsid w:val="00E22189"/>
    <w:rsid w:val="00E577E2"/>
    <w:rsid w:val="00E676E3"/>
    <w:rsid w:val="00E74069"/>
    <w:rsid w:val="00E85C8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630DAB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577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usovskaya@mire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3-319-06540-3_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Antuanett Markine</dc:creator>
  <cp:lastModifiedBy>Иван Chernoukhov</cp:lastModifiedBy>
  <cp:revision>14</cp:revision>
  <dcterms:created xsi:type="dcterms:W3CDTF">2024-02-28T19:08:00Z</dcterms:created>
  <dcterms:modified xsi:type="dcterms:W3CDTF">2024-03-21T14:29:00Z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