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7FF7" w14:textId="77777777" w:rsidR="00ED7F51" w:rsidRDefault="00D974FE" w:rsidP="00457D75">
      <w:pPr>
        <w:jc w:val="center"/>
        <w:rPr>
          <w:b/>
        </w:rPr>
      </w:pPr>
      <w:r w:rsidRPr="008D1235">
        <w:rPr>
          <w:b/>
        </w:rPr>
        <w:t>Комплексы европия и иттербия с 1,10-фенантролин-2,9-дикарбоксамидами: синтез, характеристика, люминесцентные свойства</w:t>
      </w:r>
    </w:p>
    <w:p w14:paraId="010FB9F7" w14:textId="012D3E23" w:rsidR="008D1235" w:rsidRPr="008D1235" w:rsidRDefault="009113C4" w:rsidP="00457D75">
      <w:pPr>
        <w:jc w:val="center"/>
        <w:rPr>
          <w:b/>
          <w:i/>
          <w:iCs/>
          <w:szCs w:val="22"/>
        </w:rPr>
      </w:pPr>
      <w:r w:rsidRPr="008D1235">
        <w:rPr>
          <w:b/>
          <w:i/>
          <w:iCs/>
          <w:szCs w:val="22"/>
        </w:rPr>
        <w:t>И</w:t>
      </w:r>
      <w:r w:rsidR="00003D43" w:rsidRPr="008D1235">
        <w:rPr>
          <w:b/>
          <w:i/>
          <w:iCs/>
          <w:szCs w:val="22"/>
        </w:rPr>
        <w:t xml:space="preserve">нь </w:t>
      </w:r>
      <w:r w:rsidRPr="008D1235">
        <w:rPr>
          <w:b/>
          <w:i/>
          <w:iCs/>
          <w:szCs w:val="22"/>
        </w:rPr>
        <w:t>И</w:t>
      </w:r>
      <w:r w:rsidR="00003D43" w:rsidRPr="008D1235">
        <w:rPr>
          <w:b/>
          <w:i/>
          <w:iCs/>
          <w:szCs w:val="22"/>
        </w:rPr>
        <w:t>мин</w:t>
      </w:r>
      <w:r w:rsidR="00457D75" w:rsidRPr="008D1235">
        <w:rPr>
          <w:b/>
          <w:i/>
          <w:iCs/>
          <w:szCs w:val="22"/>
          <w:vertAlign w:val="superscript"/>
        </w:rPr>
        <w:t>1</w:t>
      </w:r>
      <w:r w:rsidR="00457D75" w:rsidRPr="008D1235">
        <w:rPr>
          <w:b/>
          <w:i/>
          <w:iCs/>
          <w:szCs w:val="22"/>
        </w:rPr>
        <w:t>, Орлова А.В</w:t>
      </w:r>
      <w:r w:rsidR="00A971FB">
        <w:rPr>
          <w:b/>
          <w:i/>
          <w:iCs/>
          <w:szCs w:val="22"/>
        </w:rPr>
        <w:t>.</w:t>
      </w:r>
      <w:r w:rsidR="00C14F12" w:rsidRPr="008D1235">
        <w:rPr>
          <w:b/>
          <w:i/>
          <w:iCs/>
          <w:szCs w:val="22"/>
          <w:vertAlign w:val="superscript"/>
        </w:rPr>
        <w:t>1</w:t>
      </w:r>
      <w:r w:rsidR="00457D75" w:rsidRPr="008D1235">
        <w:rPr>
          <w:b/>
          <w:i/>
          <w:iCs/>
          <w:szCs w:val="22"/>
        </w:rPr>
        <w:t>,</w:t>
      </w:r>
      <w:r w:rsidR="00E136F7" w:rsidRPr="008D1235">
        <w:rPr>
          <w:b/>
          <w:i/>
          <w:iCs/>
          <w:szCs w:val="22"/>
        </w:rPr>
        <w:t xml:space="preserve"> </w:t>
      </w:r>
      <w:r w:rsidR="00C14F12" w:rsidRPr="008D1235">
        <w:rPr>
          <w:b/>
          <w:i/>
          <w:iCs/>
          <w:szCs w:val="22"/>
        </w:rPr>
        <w:t>Петров В.С</w:t>
      </w:r>
      <w:r w:rsidR="00A971FB">
        <w:rPr>
          <w:b/>
          <w:i/>
          <w:iCs/>
          <w:szCs w:val="22"/>
        </w:rPr>
        <w:t>.</w:t>
      </w:r>
      <w:r w:rsidR="00C14F12" w:rsidRPr="008D1235">
        <w:rPr>
          <w:b/>
          <w:i/>
          <w:iCs/>
          <w:szCs w:val="22"/>
          <w:vertAlign w:val="superscript"/>
        </w:rPr>
        <w:t>2</w:t>
      </w:r>
    </w:p>
    <w:p w14:paraId="68C7A926" w14:textId="6C1C3B05" w:rsidR="00ED7F51" w:rsidRPr="00ED7F51" w:rsidRDefault="00ED7F51" w:rsidP="00003D43">
      <w:pPr>
        <w:jc w:val="center"/>
        <w:rPr>
          <w:i/>
          <w:iCs/>
          <w:szCs w:val="22"/>
        </w:rPr>
      </w:pPr>
      <w:r w:rsidRPr="00ED7F51">
        <w:rPr>
          <w:i/>
          <w:iCs/>
          <w:szCs w:val="22"/>
        </w:rPr>
        <w:t xml:space="preserve">Студент, 2 </w:t>
      </w:r>
      <w:r>
        <w:rPr>
          <w:i/>
          <w:iCs/>
          <w:szCs w:val="22"/>
        </w:rPr>
        <w:t>курс</w:t>
      </w:r>
      <w:r w:rsidRPr="00ED7F51">
        <w:rPr>
          <w:i/>
          <w:iCs/>
          <w:szCs w:val="22"/>
        </w:rPr>
        <w:t xml:space="preserve"> магистратуры</w:t>
      </w:r>
    </w:p>
    <w:p w14:paraId="3F4C52F5" w14:textId="65BDD124" w:rsidR="00C14F12" w:rsidRPr="008D1235" w:rsidRDefault="00C14F12" w:rsidP="00003D43">
      <w:pPr>
        <w:jc w:val="center"/>
        <w:rPr>
          <w:bCs/>
          <w:i/>
          <w:iCs/>
          <w:szCs w:val="22"/>
        </w:rPr>
      </w:pPr>
      <w:r w:rsidRPr="00ED7F51">
        <w:rPr>
          <w:i/>
          <w:iCs/>
          <w:szCs w:val="22"/>
          <w:vertAlign w:val="superscript"/>
        </w:rPr>
        <w:t>1</w:t>
      </w:r>
      <w:r w:rsidR="00003D43" w:rsidRPr="00ED7F51">
        <w:rPr>
          <w:i/>
          <w:iCs/>
          <w:szCs w:val="22"/>
        </w:rPr>
        <w:t>Московский государственный университет имени М.В. Ломоносова</w:t>
      </w:r>
      <w:r w:rsidR="002B4C6B">
        <w:rPr>
          <w:i/>
          <w:iCs/>
          <w:szCs w:val="22"/>
        </w:rPr>
        <w:br/>
      </w:r>
      <w:r w:rsidR="00E61F8E" w:rsidRPr="008D1235">
        <w:rPr>
          <w:bCs/>
          <w:i/>
          <w:iCs/>
          <w:szCs w:val="22"/>
        </w:rPr>
        <w:t>Ф</w:t>
      </w:r>
      <w:r w:rsidR="00003D43" w:rsidRPr="008D1235">
        <w:rPr>
          <w:bCs/>
          <w:i/>
          <w:iCs/>
          <w:szCs w:val="22"/>
        </w:rPr>
        <w:t>акультет</w:t>
      </w:r>
      <w:r w:rsidR="00E61F8E" w:rsidRPr="008D1235">
        <w:rPr>
          <w:bCs/>
          <w:i/>
          <w:iCs/>
          <w:szCs w:val="22"/>
        </w:rPr>
        <w:t xml:space="preserve"> </w:t>
      </w:r>
      <w:r w:rsidR="00E61F8E" w:rsidRPr="008D1235">
        <w:rPr>
          <w:bCs/>
          <w:i/>
          <w:iCs/>
          <w:szCs w:val="22"/>
          <w:lang w:eastAsia="zh-CN"/>
        </w:rPr>
        <w:t>наука о материалах</w:t>
      </w:r>
      <w:r w:rsidR="00003D43" w:rsidRPr="008D1235">
        <w:rPr>
          <w:bCs/>
          <w:i/>
          <w:iCs/>
          <w:szCs w:val="22"/>
        </w:rPr>
        <w:t>, Москва, Россия</w:t>
      </w:r>
    </w:p>
    <w:p w14:paraId="52BACA0D" w14:textId="1DBBE11E" w:rsidR="00C14F12" w:rsidRPr="00C14F12" w:rsidRDefault="00C14F12" w:rsidP="00003D43">
      <w:pPr>
        <w:jc w:val="center"/>
        <w:rPr>
          <w:bCs/>
          <w:i/>
          <w:iCs/>
          <w:sz w:val="22"/>
          <w:szCs w:val="22"/>
        </w:rPr>
      </w:pPr>
      <w:r w:rsidRPr="008D1235">
        <w:rPr>
          <w:rFonts w:hint="eastAsia"/>
          <w:bCs/>
          <w:i/>
          <w:iCs/>
          <w:szCs w:val="22"/>
          <w:vertAlign w:val="superscript"/>
        </w:rPr>
        <w:t>2</w:t>
      </w:r>
      <w:r w:rsidRPr="008D1235">
        <w:rPr>
          <w:bCs/>
          <w:i/>
          <w:iCs/>
          <w:szCs w:val="22"/>
        </w:rPr>
        <w:t>Московский государственный университет имени М.В. Ломоносова</w:t>
      </w:r>
      <w:r w:rsidR="002B4C6B">
        <w:rPr>
          <w:bCs/>
          <w:i/>
          <w:iCs/>
          <w:szCs w:val="22"/>
        </w:rPr>
        <w:br/>
      </w:r>
      <w:r>
        <w:rPr>
          <w:i/>
          <w:color w:val="000000"/>
        </w:rPr>
        <w:t>химический</w:t>
      </w:r>
      <w:r w:rsidRPr="00D12B62">
        <w:rPr>
          <w:i/>
          <w:color w:val="000000"/>
        </w:rPr>
        <w:t xml:space="preserve"> </w:t>
      </w:r>
      <w:r w:rsidR="00D974FE">
        <w:rPr>
          <w:i/>
          <w:color w:val="000000"/>
        </w:rPr>
        <w:t>факультет</w:t>
      </w:r>
      <w:r w:rsidRPr="00003D43">
        <w:rPr>
          <w:bCs/>
          <w:i/>
          <w:iCs/>
          <w:sz w:val="22"/>
          <w:szCs w:val="22"/>
        </w:rPr>
        <w:t>, Москва, Россия</w:t>
      </w:r>
    </w:p>
    <w:p w14:paraId="446A7BA9" w14:textId="4A9E9AF7" w:rsidR="00E7690E" w:rsidRDefault="00D974FE" w:rsidP="00ED7F51">
      <w:pPr>
        <w:jc w:val="center"/>
        <w:rPr>
          <w:b/>
          <w:sz w:val="16"/>
          <w:szCs w:val="16"/>
        </w:rPr>
      </w:pPr>
      <w:bookmarkStart w:id="0" w:name="_Hlk159024608"/>
      <w:r>
        <w:rPr>
          <w:i/>
          <w:color w:val="000000"/>
        </w:rPr>
        <w:t xml:space="preserve">E-mail: </w:t>
      </w:r>
      <w:r w:rsidRPr="00ED7F51">
        <w:rPr>
          <w:i/>
          <w:color w:val="000000"/>
          <w:u w:val="single"/>
        </w:rPr>
        <w:t>840830336@qq.com</w:t>
      </w:r>
    </w:p>
    <w:p w14:paraId="142FA84C" w14:textId="77777777" w:rsidR="008D1235" w:rsidRDefault="00E61F8E" w:rsidP="00F94941">
      <w:pPr>
        <w:ind w:firstLine="397"/>
        <w:jc w:val="both"/>
      </w:pPr>
      <w:r>
        <w:t xml:space="preserve">Комплексы лантанидов с органическими лигандами являются </w:t>
      </w:r>
      <w:r w:rsidRPr="005502C5">
        <w:t xml:space="preserve">широко используемым </w:t>
      </w:r>
      <w:r>
        <w:t>классом люминесцентных</w:t>
      </w:r>
      <w:r w:rsidRPr="005502C5">
        <w:t xml:space="preserve"> материало</w:t>
      </w:r>
      <w:r>
        <w:t>в</w:t>
      </w:r>
      <w:r w:rsidRPr="005502C5">
        <w:t xml:space="preserve">. </w:t>
      </w:r>
      <w:r>
        <w:t>Высокая интенсивность люминесценции таких материалов достигается за счёт эффекта антенны, то есть эффективного поглощения лиганда и дальнейшего переноса энергии на ион лантанида.</w:t>
      </w:r>
    </w:p>
    <w:p w14:paraId="3D816AA8" w14:textId="7A8AFFCD" w:rsidR="00E61F8E" w:rsidRDefault="00E61F8E" w:rsidP="00F94941">
      <w:pPr>
        <w:ind w:firstLine="397"/>
        <w:jc w:val="both"/>
      </w:pPr>
      <w:r>
        <w:t xml:space="preserve">Такие комплексы </w:t>
      </w:r>
      <w:r w:rsidRPr="005502C5">
        <w:t>можно использовать в термометрах. При разных температурах материалы могут показывать разную интенсивность люминесценции, время жизни</w:t>
      </w:r>
      <w:r>
        <w:t xml:space="preserve"> или соотношение интенсивностей эмиссионных полос</w:t>
      </w:r>
      <w:r w:rsidRPr="005502C5">
        <w:t>.</w:t>
      </w:r>
      <w:r>
        <w:t xml:space="preserve"> Часто в качестве таких м</w:t>
      </w:r>
      <w:r w:rsidR="000D30E8">
        <w:t>а</w:t>
      </w:r>
      <w:r>
        <w:t>териалов используют комплексы европия</w:t>
      </w:r>
      <w:r>
        <w:fldChar w:fldCharType="begin" w:fldLock="1"/>
      </w:r>
      <w:r>
        <w:instrText>ADDIN CSL_CITATION {"citationItems":[{"id":"ITEM-1","itemData":{"DOI":"10.1016/j.trac.2018.03.003","ISSN":"18793142","abstract":"Fluorescent thermometers display great advantages over conventional analytical methods in terms of its high sensitivity, fast response, simple operation, high spatial resolution, non-destructive inspection, as well as potential bioimaging applications. It has emerged as an effective analytical tool particularly for applications in large surface area, microfluids and biological systems. This review focuses on the recent research progress of fluorescence thermometers based on organic materials, including organic small molecules, macromolecules, and nanoassemblies. The importance of the thermometers, design principles, fluorescence response modes, as well as their biological applications are all thoroughly described in this review. Finally, the sensing performances of thermometers are analyzed highlighting the challenges which need to be addressed urgently and future directions in design and application of organic fluorescent thermometers.","author":[{"dropping-particle":"","family":"Qin","given":"Tianyi","non-dropping-particle":"","parse-names":false,"suffix":""},{"dropping-particle":"","family":"Liu","given":"Bin","non-dropping-particle":"","parse-names":false,"suffix":""},{"dropping-particle":"","family":"Zhu","given":"Kangning","non-dropping-particle":"","parse-names":false,"suffix":""},{"dropping-particle":"","family":"Luo","given":"Zijie","non-dropping-particle":"","parse-names":false,"suffix":""},{"dropping-particle":"","family":"Huang","given":"Yingying","non-dropping-particle":"","parse-names":false,"suffix":""},{"dropping-particle":"","family":"Pan","given":"Chengjun","non-dropping-particle":"","parse-names":false,"suffix":""},{"dropping-particle":"","family":"Wang","given":"Lei","non-dropping-particle":"","parse-names":false,"suffix":""}],"container-title":"TrAC - Trends in Analytical Chemistry","id":"ITEM-1","issued":{"date-parts":[["2018"]]},"page":"259-271","publisher":"Elsevier B.V.","title":"Organic fluorescent thermometers: Highlights from 2013 to 2017","type":"article-journal","volume":"102"},"uris":["http://www.mendeley.com/documents/?uuid=74fdfc17-1fce-4021-8661-8c7a6b63675b"]}],"mendeley":{"formattedCitation":"&lt;sup&gt;1&lt;/sup&gt;","plainTextFormattedCitation":"1","previouslyFormattedCitation":"&lt;sup&gt;1&lt;/sup&gt;"},"properties":{"noteIndex":0},"schema":"https://github.com/citation-style-language/schema/raw/master/csl-citation.json"}</w:instrText>
      </w:r>
      <w:r>
        <w:fldChar w:fldCharType="separate"/>
      </w:r>
      <w:r w:rsidRPr="005A0958">
        <w:rPr>
          <w:noProof/>
          <w:vertAlign w:val="superscript"/>
        </w:rPr>
        <w:t>1</w:t>
      </w:r>
      <w:r>
        <w:fldChar w:fldCharType="end"/>
      </w:r>
      <w:r w:rsidRPr="005A0958">
        <w:t xml:space="preserve"> </w:t>
      </w:r>
      <w:r>
        <w:t>или иттербия, излучающие в красном и ближнем инфракрасном диапазоне. В качестве температурно</w:t>
      </w:r>
      <w:r w:rsidR="000D30E8">
        <w:t>-</w:t>
      </w:r>
      <w:r>
        <w:t xml:space="preserve">зависимого параметра при этом обычно используют соотношение полос различных ионов, так как это обеспечивает лучшую точность и простоту реализации измерений. Соединения лантанидов, как кислот Льюиса, </w:t>
      </w:r>
      <w:r w:rsidRPr="005502C5">
        <w:t xml:space="preserve">широко используются в качестве </w:t>
      </w:r>
      <w:r>
        <w:t xml:space="preserve">гомогенных </w:t>
      </w:r>
      <w:r w:rsidRPr="005502C5">
        <w:t>катализаторов селективных реакций.</w:t>
      </w:r>
      <w:r>
        <w:t xml:space="preserve"> При этом важными требованиями таких материалов являются высокая растворимость и доступность иона лантанида для связывания.</w:t>
      </w:r>
      <w:bookmarkEnd w:id="0"/>
    </w:p>
    <w:p w14:paraId="28E589C5" w14:textId="77777777" w:rsidR="00E61F8E" w:rsidRPr="005502C5" w:rsidRDefault="00E61F8E" w:rsidP="00F94941">
      <w:pPr>
        <w:ind w:firstLine="397"/>
        <w:jc w:val="both"/>
      </w:pPr>
      <w:r>
        <w:t>О</w:t>
      </w:r>
      <w:r w:rsidRPr="005502C5">
        <w:t xml:space="preserve">дновременное использование лантанидов как катализаторов и термометров позволили бы упростить мониторинг реакции, но сейчас работ, посвященных этому, крайне мало. </w:t>
      </w:r>
      <w:r>
        <w:t xml:space="preserve">Во многом это связано со сложным требованием к материалу: необходимостью частичной диссоциации комплекса, при которой возможно связывание лантанида с реагентом, и при этом остаётся связь </w:t>
      </w:r>
      <w:r>
        <w:rPr>
          <w:lang w:val="en-US"/>
        </w:rPr>
        <w:t>Ln</w:t>
      </w:r>
      <w:r w:rsidRPr="007060FE">
        <w:t>-</w:t>
      </w:r>
      <w:r>
        <w:rPr>
          <w:lang w:val="en-US"/>
        </w:rPr>
        <w:t>L</w:t>
      </w:r>
      <w:r>
        <w:t>, обеспечивающая сенсибилизацию. Разветвленные производные фенантролина обеспечивают такое свойство, поэтому</w:t>
      </w:r>
      <w:r w:rsidRPr="005502C5">
        <w:t xml:space="preserve"> мы в нашей работе постараемся объединить эти свойства в одном соединении</w:t>
      </w:r>
      <w:r>
        <w:t>, используя комплексы европия и иттербия с</w:t>
      </w:r>
      <w:r w:rsidRPr="0034641E">
        <w:rPr>
          <w:bCs/>
        </w:rPr>
        <w:t xml:space="preserve"> </w:t>
      </w:r>
      <w:r w:rsidRPr="007060FE">
        <w:rPr>
          <w:bCs/>
        </w:rPr>
        <w:t>10-фенантролин-2,9-</w:t>
      </w:r>
      <w:r w:rsidR="00E7690E" w:rsidRPr="007060FE">
        <w:rPr>
          <w:bCs/>
        </w:rPr>
        <w:t>дикарбоксамидами</w:t>
      </w:r>
      <w:r w:rsidR="00E7690E" w:rsidRPr="0034641E" w:rsidDel="0034641E">
        <w:t>.</w:t>
      </w:r>
    </w:p>
    <w:p w14:paraId="08E32323" w14:textId="035839C3" w:rsidR="00E61F8E" w:rsidRDefault="00E61F8E" w:rsidP="00F94941">
      <w:pPr>
        <w:ind w:firstLine="397"/>
        <w:jc w:val="both"/>
        <w:rPr>
          <w:rFonts w:eastAsia="Malgun Gothic Semilight"/>
          <w:lang w:eastAsia="zh-CN"/>
        </w:rPr>
      </w:pPr>
      <w:r w:rsidRPr="005502C5">
        <w:t>Для получения комплексов мы растворяли хлориды соответствующих лантанидов и лиганды в соотношении 1:1 в этаноле, выдерживали смесь при перемешивании 24 часа и выпаривали досуха, получая порошок целевого комплекса. В качестве лигандов при этом использовали три различных производных фенантролина</w:t>
      </w:r>
      <w:r>
        <w:t>.</w:t>
      </w:r>
    </w:p>
    <w:p w14:paraId="05330906" w14:textId="77777777" w:rsidR="008D1235" w:rsidRDefault="00E61F8E" w:rsidP="00F94941">
      <w:pPr>
        <w:ind w:firstLine="397"/>
        <w:jc w:val="both"/>
        <w:rPr>
          <w:rFonts w:eastAsia="TimesNewRoman+1"/>
          <w:position w:val="3"/>
          <w:sz w:val="16"/>
          <w:szCs w:val="16"/>
        </w:rPr>
      </w:pPr>
      <w:r w:rsidRPr="0016387C">
        <w:t>Для установ</w:t>
      </w:r>
      <w:r>
        <w:t xml:space="preserve">ления </w:t>
      </w:r>
      <w:r w:rsidRPr="0016387C">
        <w:t>состав</w:t>
      </w:r>
      <w:r>
        <w:t>а</w:t>
      </w:r>
      <w:r w:rsidRPr="0016387C">
        <w:t xml:space="preserve"> комплекс</w:t>
      </w:r>
      <w:r>
        <w:t>ов</w:t>
      </w:r>
      <w:r w:rsidRPr="0016387C">
        <w:t xml:space="preserve"> в растворе, были измерены спектры ЯМР и M</w:t>
      </w:r>
      <w:r>
        <w:rPr>
          <w:lang w:val="en-US"/>
        </w:rPr>
        <w:t>A</w:t>
      </w:r>
      <w:r w:rsidRPr="0016387C">
        <w:t>LDI для лигандов и смесей лиганда</w:t>
      </w:r>
      <w:r w:rsidRPr="007060FE">
        <w:t xml:space="preserve"> </w:t>
      </w:r>
      <w:r>
        <w:t>и европия в различных соотношениях. Было показано, что к каждому иону лантанида в растворе координирован один нейтральный лиганд. Для полученных соединений были изучены люминесцентные свойства, а также их изменение с температурой (максимальная чувствительность составила 2.75%</w:t>
      </w:r>
      <w:r w:rsidR="00E7690E" w:rsidRPr="00E7690E">
        <w:t xml:space="preserve"> </w:t>
      </w:r>
      <w:r>
        <w:rPr>
          <w:lang w:val="en-US"/>
        </w:rPr>
        <w:t>K</w:t>
      </w:r>
      <w:r w:rsidRPr="007060FE">
        <w:rPr>
          <w:vertAlign w:val="superscript"/>
        </w:rPr>
        <w:t>-1</w:t>
      </w:r>
      <w:r>
        <w:t>). Затем были исследованы люминесцентные свойства комплексов в присутствии компонентов реакции Анри и было показано, что форма спектров остаётся неизменной, однако изменяется интенсивность соединений. Согласно предварительным экспериментам, в присутствии комплекса наблюдается нагревание реакционной смеси, что свидетельствует о наличии у комплекса каталитических свойств. Детальное изучение этих свойств и влияние процесса протекания реакции на люминесцентных характеристики комплексов является дальнейшей задачей этой работы.</w:t>
      </w:r>
    </w:p>
    <w:p w14:paraId="7D6FEE20" w14:textId="77777777" w:rsidR="00ED7F51" w:rsidRDefault="008D1235" w:rsidP="008D1235">
      <w:pPr>
        <w:jc w:val="center"/>
        <w:rPr>
          <w:rFonts w:eastAsia="TimesNewRoman+1"/>
          <w:b/>
          <w:position w:val="3"/>
          <w:szCs w:val="28"/>
        </w:rPr>
      </w:pPr>
      <w:r w:rsidRPr="008D1235">
        <w:rPr>
          <w:rFonts w:eastAsia="TimesNewRoman+1"/>
          <w:b/>
          <w:position w:val="3"/>
          <w:szCs w:val="28"/>
        </w:rPr>
        <w:t>Литература</w:t>
      </w:r>
    </w:p>
    <w:p w14:paraId="37029D90" w14:textId="321CFC89" w:rsidR="00D12B62" w:rsidRPr="00ED7F51" w:rsidRDefault="00ED7F51" w:rsidP="00ED7F51">
      <w:pPr>
        <w:jc w:val="both"/>
        <w:rPr>
          <w:bCs/>
          <w:lang w:val="en-US"/>
        </w:rPr>
      </w:pPr>
      <w:r w:rsidRPr="00ED7F51">
        <w:rPr>
          <w:rFonts w:eastAsia="TimesNewRoman+1"/>
          <w:bCs/>
          <w:position w:val="3"/>
          <w:szCs w:val="28"/>
        </w:rPr>
        <w:t xml:space="preserve">1. </w:t>
      </w:r>
      <w:r w:rsidR="00D12B62" w:rsidRPr="00ED7F51">
        <w:rPr>
          <w:bCs/>
          <w:lang w:val="en-US"/>
        </w:rPr>
        <w:t>Qin</w:t>
      </w:r>
      <w:r w:rsidR="00D12B62" w:rsidRPr="00ED7F51">
        <w:rPr>
          <w:bCs/>
        </w:rPr>
        <w:t xml:space="preserve"> </w:t>
      </w:r>
      <w:r w:rsidR="00D12B62" w:rsidRPr="00ED7F51">
        <w:rPr>
          <w:bCs/>
          <w:lang w:val="en-US"/>
        </w:rPr>
        <w:t>T</w:t>
      </w:r>
      <w:r w:rsidR="00D12B62" w:rsidRPr="00ED7F51">
        <w:rPr>
          <w:bCs/>
        </w:rPr>
        <w:t xml:space="preserve">, </w:t>
      </w:r>
      <w:r w:rsidR="00D12B62" w:rsidRPr="00ED7F51">
        <w:rPr>
          <w:bCs/>
          <w:lang w:val="en-US"/>
        </w:rPr>
        <w:t>Liu</w:t>
      </w:r>
      <w:r w:rsidR="00D12B62" w:rsidRPr="00ED7F51">
        <w:rPr>
          <w:bCs/>
        </w:rPr>
        <w:t xml:space="preserve"> </w:t>
      </w:r>
      <w:r w:rsidR="00D12B62" w:rsidRPr="00ED7F51">
        <w:rPr>
          <w:bCs/>
          <w:lang w:val="en-US"/>
        </w:rPr>
        <w:t>B</w:t>
      </w:r>
      <w:r w:rsidR="00D12B62" w:rsidRPr="00ED7F51">
        <w:rPr>
          <w:bCs/>
        </w:rPr>
        <w:t xml:space="preserve">, </w:t>
      </w:r>
      <w:r w:rsidR="00D12B62" w:rsidRPr="00ED7F51">
        <w:rPr>
          <w:bCs/>
          <w:lang w:val="en-US"/>
        </w:rPr>
        <w:t>Zhu</w:t>
      </w:r>
      <w:r w:rsidR="00D12B62" w:rsidRPr="00ED7F51">
        <w:rPr>
          <w:bCs/>
        </w:rPr>
        <w:t xml:space="preserve"> </w:t>
      </w:r>
      <w:r w:rsidR="00D12B62" w:rsidRPr="00ED7F51">
        <w:rPr>
          <w:bCs/>
          <w:lang w:val="en-US"/>
        </w:rPr>
        <w:t>K</w:t>
      </w:r>
      <w:r w:rsidR="00D12B62" w:rsidRPr="00ED7F51">
        <w:rPr>
          <w:bCs/>
        </w:rPr>
        <w:t xml:space="preserve">, </w:t>
      </w:r>
      <w:r w:rsidR="00D12B62" w:rsidRPr="00ED7F51">
        <w:rPr>
          <w:bCs/>
          <w:lang w:val="en-US"/>
        </w:rPr>
        <w:t>et</w:t>
      </w:r>
      <w:r w:rsidR="00D12B62" w:rsidRPr="00ED7F51">
        <w:rPr>
          <w:bCs/>
        </w:rPr>
        <w:t xml:space="preserve"> </w:t>
      </w:r>
      <w:r w:rsidR="00D12B62" w:rsidRPr="00ED7F51">
        <w:rPr>
          <w:bCs/>
          <w:lang w:val="en-US"/>
        </w:rPr>
        <w:t>al</w:t>
      </w:r>
      <w:r w:rsidR="00D12B62" w:rsidRPr="00ED7F51">
        <w:rPr>
          <w:bCs/>
        </w:rPr>
        <w:t xml:space="preserve">. </w:t>
      </w:r>
      <w:r w:rsidR="00D12B62" w:rsidRPr="00ED7F51">
        <w:rPr>
          <w:bCs/>
          <w:lang w:val="en-US"/>
        </w:rPr>
        <w:t xml:space="preserve">Organic fluorescent thermometers: Highlights from 2013 to 2017. </w:t>
      </w:r>
      <w:proofErr w:type="spellStart"/>
      <w:r w:rsidR="00D12B62" w:rsidRPr="00ED7F51">
        <w:rPr>
          <w:bCs/>
          <w:lang w:val="en-US"/>
        </w:rPr>
        <w:t>TrAC</w:t>
      </w:r>
      <w:proofErr w:type="spellEnd"/>
      <w:r w:rsidR="00D12B62" w:rsidRPr="00ED7F51">
        <w:rPr>
          <w:bCs/>
          <w:lang w:val="en-US"/>
        </w:rPr>
        <w:t xml:space="preserve"> - Trends Anal Chem. </w:t>
      </w:r>
      <w:proofErr w:type="gramStart"/>
      <w:r w:rsidR="00D12B62" w:rsidRPr="00ED7F51">
        <w:rPr>
          <w:bCs/>
          <w:lang w:val="en-US"/>
        </w:rPr>
        <w:t>2018;102:259</w:t>
      </w:r>
      <w:proofErr w:type="gramEnd"/>
      <w:r w:rsidR="00D12B62" w:rsidRPr="00ED7F51">
        <w:rPr>
          <w:bCs/>
          <w:lang w:val="en-US"/>
        </w:rPr>
        <w:t xml:space="preserve">-271. </w:t>
      </w:r>
      <w:proofErr w:type="gramStart"/>
      <w:r w:rsidR="00D12B62" w:rsidRPr="00ED7F51">
        <w:rPr>
          <w:bCs/>
          <w:lang w:val="en-US"/>
        </w:rPr>
        <w:t>doi:10.1016/j.trac</w:t>
      </w:r>
      <w:proofErr w:type="gramEnd"/>
      <w:r w:rsidR="00D12B62" w:rsidRPr="00ED7F51">
        <w:rPr>
          <w:bCs/>
          <w:lang w:val="en-US"/>
        </w:rPr>
        <w:t>.2018.03.003</w:t>
      </w:r>
    </w:p>
    <w:p w14:paraId="3E4697E0" w14:textId="2AFA280E" w:rsidR="00514FD7" w:rsidRPr="00ED7F51" w:rsidRDefault="00ED7F51" w:rsidP="008D1235">
      <w:pPr>
        <w:jc w:val="both"/>
        <w:rPr>
          <w:lang w:val="en-US"/>
        </w:rPr>
      </w:pPr>
      <w:r w:rsidRPr="00ED7F51">
        <w:rPr>
          <w:lang w:val="en-US"/>
        </w:rPr>
        <w:t>2</w:t>
      </w:r>
      <w:r w:rsidR="008D1235">
        <w:rPr>
          <w:lang w:val="en-US"/>
        </w:rPr>
        <w:t xml:space="preserve">. </w:t>
      </w:r>
      <w:r w:rsidR="00D12B62" w:rsidRPr="00D12B62">
        <w:rPr>
          <w:lang w:val="en-US"/>
        </w:rPr>
        <w:t xml:space="preserve">Shibasaki M, Yoshikawa N. Lanthanide complexes in multifunctional asymmetric catalysis. </w:t>
      </w:r>
      <w:r w:rsidR="00D12B62" w:rsidRPr="00ED7F51">
        <w:rPr>
          <w:lang w:val="en-US"/>
        </w:rPr>
        <w:t>Chem Rev. 2002;102(6):2187-2209. doi:10.1021/cr010297z</w:t>
      </w:r>
    </w:p>
    <w:sectPr w:rsidR="00514FD7" w:rsidRPr="00ED7F51" w:rsidSect="0048700E">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334C" w14:textId="77777777" w:rsidR="0048700E" w:rsidRDefault="0048700E" w:rsidP="008A0FA0">
      <w:r>
        <w:separator/>
      </w:r>
    </w:p>
  </w:endnote>
  <w:endnote w:type="continuationSeparator" w:id="0">
    <w:p w14:paraId="6025925F" w14:textId="77777777" w:rsidR="0048700E" w:rsidRDefault="0048700E" w:rsidP="008A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 w:name="TimesNewRoman+1">
    <w:altName w:val="Microsoft JhengHei Light"/>
    <w:panose1 w:val="00000000000000000000"/>
    <w:charset w:val="86"/>
    <w:family w:val="auto"/>
    <w:notTrueType/>
    <w:pitch w:val="default"/>
    <w:sig w:usb0="00000000" w:usb1="080E0000" w:usb2="00000010" w:usb3="00000000" w:csb0="00040004"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38D8" w14:textId="77777777" w:rsidR="0048700E" w:rsidRDefault="0048700E" w:rsidP="008A0FA0">
      <w:r>
        <w:separator/>
      </w:r>
    </w:p>
  </w:footnote>
  <w:footnote w:type="continuationSeparator" w:id="0">
    <w:p w14:paraId="393F03C1" w14:textId="77777777" w:rsidR="0048700E" w:rsidRDefault="0048700E" w:rsidP="008A0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E348A"/>
    <w:multiLevelType w:val="hybridMultilevel"/>
    <w:tmpl w:val="8B66624E"/>
    <w:lvl w:ilvl="0" w:tplc="8896644E">
      <w:start w:val="1"/>
      <w:numFmt w:val="decimal"/>
      <w:lvlText w:val="%1."/>
      <w:lvlJc w:val="left"/>
      <w:pPr>
        <w:ind w:left="2103"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42295584"/>
    <w:multiLevelType w:val="hybridMultilevel"/>
    <w:tmpl w:val="D5E8B19C"/>
    <w:lvl w:ilvl="0" w:tplc="2A80D396">
      <w:start w:val="1"/>
      <w:numFmt w:val="decimal"/>
      <w:lvlText w:val="%1."/>
      <w:lvlJc w:val="left"/>
      <w:pPr>
        <w:ind w:left="720" w:hanging="360"/>
      </w:pPr>
      <w:rPr>
        <w:rFonts w:hint="default"/>
        <w:b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6F4670"/>
    <w:multiLevelType w:val="hybridMultilevel"/>
    <w:tmpl w:val="9AAEAD48"/>
    <w:lvl w:ilvl="0" w:tplc="49F24758">
      <w:start w:val="1"/>
      <w:numFmt w:val="decimal"/>
      <w:lvlText w:val="%1."/>
      <w:lvlJc w:val="center"/>
      <w:pPr>
        <w:tabs>
          <w:tab w:val="num" w:pos="215"/>
        </w:tabs>
        <w:ind w:left="215" w:hanging="215"/>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4250396"/>
    <w:multiLevelType w:val="hybridMultilevel"/>
    <w:tmpl w:val="97F03C3A"/>
    <w:lvl w:ilvl="0" w:tplc="266A076A">
      <w:start w:val="1"/>
      <w:numFmt w:val="decimal"/>
      <w:lvlText w:val="%1."/>
      <w:lvlJc w:val="center"/>
      <w:pPr>
        <w:tabs>
          <w:tab w:val="num" w:pos="215"/>
        </w:tabs>
        <w:ind w:left="215" w:hanging="215"/>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2554018">
    <w:abstractNumId w:val="0"/>
  </w:num>
  <w:num w:numId="2" w16cid:durableId="820998664">
    <w:abstractNumId w:val="2"/>
  </w:num>
  <w:num w:numId="3" w16cid:durableId="1913730013">
    <w:abstractNumId w:val="3"/>
  </w:num>
  <w:num w:numId="4" w16cid:durableId="141604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C0"/>
    <w:rsid w:val="00003D43"/>
    <w:rsid w:val="00014D19"/>
    <w:rsid w:val="00092EFB"/>
    <w:rsid w:val="000B0585"/>
    <w:rsid w:val="000D30E8"/>
    <w:rsid w:val="000E3F4A"/>
    <w:rsid w:val="000E7463"/>
    <w:rsid w:val="0016387C"/>
    <w:rsid w:val="001B6B95"/>
    <w:rsid w:val="00224C99"/>
    <w:rsid w:val="00236A5C"/>
    <w:rsid w:val="002427A6"/>
    <w:rsid w:val="00264F69"/>
    <w:rsid w:val="002B4C6B"/>
    <w:rsid w:val="00390E2A"/>
    <w:rsid w:val="003E046B"/>
    <w:rsid w:val="003F08C8"/>
    <w:rsid w:val="004065FE"/>
    <w:rsid w:val="00457D75"/>
    <w:rsid w:val="00471FDF"/>
    <w:rsid w:val="0048700E"/>
    <w:rsid w:val="004A5A43"/>
    <w:rsid w:val="00514FD7"/>
    <w:rsid w:val="00540BC4"/>
    <w:rsid w:val="005502C5"/>
    <w:rsid w:val="0055142D"/>
    <w:rsid w:val="00594687"/>
    <w:rsid w:val="005A0958"/>
    <w:rsid w:val="005A3368"/>
    <w:rsid w:val="00665659"/>
    <w:rsid w:val="00680688"/>
    <w:rsid w:val="00722C2B"/>
    <w:rsid w:val="007417BC"/>
    <w:rsid w:val="00760291"/>
    <w:rsid w:val="007D3AB3"/>
    <w:rsid w:val="00805329"/>
    <w:rsid w:val="008223C0"/>
    <w:rsid w:val="008A0FA0"/>
    <w:rsid w:val="008B0771"/>
    <w:rsid w:val="008D0A91"/>
    <w:rsid w:val="008D1235"/>
    <w:rsid w:val="00902389"/>
    <w:rsid w:val="009113C4"/>
    <w:rsid w:val="00932366"/>
    <w:rsid w:val="009743E7"/>
    <w:rsid w:val="009B58B6"/>
    <w:rsid w:val="00A81C1A"/>
    <w:rsid w:val="00A92669"/>
    <w:rsid w:val="00A971FB"/>
    <w:rsid w:val="00B544DE"/>
    <w:rsid w:val="00C14346"/>
    <w:rsid w:val="00C14F12"/>
    <w:rsid w:val="00C3198F"/>
    <w:rsid w:val="00CA6D08"/>
    <w:rsid w:val="00CB358C"/>
    <w:rsid w:val="00CC17E5"/>
    <w:rsid w:val="00D12B62"/>
    <w:rsid w:val="00D974FE"/>
    <w:rsid w:val="00DB1888"/>
    <w:rsid w:val="00DC7120"/>
    <w:rsid w:val="00E121B1"/>
    <w:rsid w:val="00E136F7"/>
    <w:rsid w:val="00E57937"/>
    <w:rsid w:val="00E61F8E"/>
    <w:rsid w:val="00E6319B"/>
    <w:rsid w:val="00E7690E"/>
    <w:rsid w:val="00ED5E54"/>
    <w:rsid w:val="00ED7F51"/>
    <w:rsid w:val="00F034F0"/>
    <w:rsid w:val="00F50952"/>
    <w:rsid w:val="00F652BC"/>
    <w:rsid w:val="00F77BA9"/>
    <w:rsid w:val="00F94941"/>
    <w:rsid w:val="00FA654C"/>
    <w:rsid w:val="00FF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D400A"/>
  <w15:chartTrackingRefBased/>
  <w15:docId w15:val="{350E1ED9-9FEB-4231-A3C7-30EFE86A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F034F0"/>
    <w:pPr>
      <w:spacing w:before="100" w:after="100"/>
    </w:pPr>
    <w:rPr>
      <w:snapToGrid w:val="0"/>
      <w:sz w:val="24"/>
      <w:lang w:val="ru-RU" w:eastAsia="ru-RU"/>
    </w:rPr>
  </w:style>
  <w:style w:type="paragraph" w:styleId="a3">
    <w:name w:val="header"/>
    <w:basedOn w:val="a"/>
    <w:link w:val="a4"/>
    <w:rsid w:val="008A0FA0"/>
    <w:pPr>
      <w:tabs>
        <w:tab w:val="center" w:pos="4153"/>
        <w:tab w:val="right" w:pos="8306"/>
      </w:tabs>
      <w:snapToGrid w:val="0"/>
      <w:jc w:val="center"/>
    </w:pPr>
    <w:rPr>
      <w:sz w:val="18"/>
      <w:szCs w:val="18"/>
    </w:rPr>
  </w:style>
  <w:style w:type="character" w:customStyle="1" w:styleId="a4">
    <w:name w:val="Верхний колонтитул Знак"/>
    <w:link w:val="a3"/>
    <w:rsid w:val="008A0FA0"/>
    <w:rPr>
      <w:sz w:val="18"/>
      <w:szCs w:val="18"/>
      <w:lang w:val="ru-RU" w:eastAsia="ru-RU"/>
    </w:rPr>
  </w:style>
  <w:style w:type="paragraph" w:styleId="a5">
    <w:name w:val="footer"/>
    <w:basedOn w:val="a"/>
    <w:link w:val="a6"/>
    <w:rsid w:val="008A0FA0"/>
    <w:pPr>
      <w:tabs>
        <w:tab w:val="center" w:pos="4153"/>
        <w:tab w:val="right" w:pos="8306"/>
      </w:tabs>
      <w:snapToGrid w:val="0"/>
    </w:pPr>
    <w:rPr>
      <w:sz w:val="18"/>
      <w:szCs w:val="18"/>
    </w:rPr>
  </w:style>
  <w:style w:type="character" w:customStyle="1" w:styleId="a6">
    <w:name w:val="Нижний колонтитул Знак"/>
    <w:link w:val="a5"/>
    <w:rsid w:val="008A0FA0"/>
    <w:rP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2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B1F2-0583-43D5-B5E9-D8622739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Правила оформления тезисов:</vt:lpstr>
    </vt:vector>
  </TitlesOfParts>
  <Company>Company</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оформления тезисов:</dc:title>
  <dc:subject/>
  <dc:creator>tatjana</dc:creator>
  <cp:keywords/>
  <cp:lastModifiedBy>Иван Chernoukhov</cp:lastModifiedBy>
  <cp:revision>8</cp:revision>
  <dcterms:created xsi:type="dcterms:W3CDTF">2024-03-18T22:45:00Z</dcterms:created>
  <dcterms:modified xsi:type="dcterms:W3CDTF">2024-03-18T22:50:00Z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abe16973-1c97-30d1-b2cc-7fd711a34674</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