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45781" w14:textId="77777777" w:rsidR="00104F8A" w:rsidRDefault="00000000" w:rsidP="006B44C8">
      <w:pPr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Синтез и фотолюминесцентные свойства </w:t>
      </w:r>
      <w:proofErr w:type="spellStart"/>
      <w:r>
        <w:rPr>
          <w:rFonts w:eastAsia="Times New Roman"/>
          <w:b/>
          <w:color w:val="000000"/>
        </w:rPr>
        <w:t>броминдатов</w:t>
      </w:r>
      <w:proofErr w:type="spellEnd"/>
      <w:r>
        <w:rPr>
          <w:rFonts w:eastAsia="Times New Roman"/>
          <w:b/>
          <w:color w:val="000000"/>
        </w:rPr>
        <w:t xml:space="preserve"> и </w:t>
      </w:r>
      <w:proofErr w:type="spellStart"/>
      <w:r>
        <w:rPr>
          <w:rFonts w:eastAsia="Times New Roman"/>
          <w:b/>
          <w:color w:val="000000"/>
        </w:rPr>
        <w:t>бромовисмутатов</w:t>
      </w:r>
      <w:proofErr w:type="spellEnd"/>
      <w:r>
        <w:rPr>
          <w:rFonts w:eastAsia="Times New Roman"/>
          <w:b/>
          <w:color w:val="000000"/>
        </w:rPr>
        <w:t xml:space="preserve"> со структурой двойного перовскита</w:t>
      </w:r>
    </w:p>
    <w:p w14:paraId="064DCA02" w14:textId="77777777" w:rsidR="00104F8A" w:rsidRPr="006B44C8" w:rsidRDefault="00000000">
      <w:pPr>
        <w:shd w:val="clear" w:color="auto" w:fill="FFFFFF"/>
        <w:jc w:val="center"/>
        <w:rPr>
          <w:rFonts w:eastAsia="Times New Roman"/>
          <w:b/>
          <w:bCs/>
          <w:i/>
          <w:iCs/>
          <w:sz w:val="28"/>
          <w:szCs w:val="28"/>
        </w:rPr>
      </w:pPr>
      <w:r w:rsidRPr="006B44C8">
        <w:rPr>
          <w:rFonts w:eastAsia="Times New Roman"/>
          <w:b/>
          <w:bCs/>
          <w:i/>
          <w:iCs/>
        </w:rPr>
        <w:t xml:space="preserve">Чжу </w:t>
      </w:r>
      <w:proofErr w:type="spellStart"/>
      <w:r w:rsidRPr="006B44C8">
        <w:rPr>
          <w:rFonts w:eastAsia="Times New Roman"/>
          <w:b/>
          <w:bCs/>
          <w:i/>
          <w:iCs/>
        </w:rPr>
        <w:t>Чжилинь</w:t>
      </w:r>
      <w:proofErr w:type="spellEnd"/>
      <w:r w:rsidRPr="006B44C8">
        <w:rPr>
          <w:rFonts w:eastAsia="Times New Roman"/>
          <w:b/>
          <w:bCs/>
          <w:i/>
          <w:iCs/>
        </w:rPr>
        <w:t xml:space="preserve">, Камилов Р.Х., </w:t>
      </w:r>
      <w:proofErr w:type="spellStart"/>
      <w:r w:rsidRPr="006B44C8">
        <w:rPr>
          <w:rFonts w:eastAsia="Times New Roman"/>
          <w:b/>
          <w:bCs/>
          <w:i/>
          <w:iCs/>
        </w:rPr>
        <w:t>Иброхимов</w:t>
      </w:r>
      <w:proofErr w:type="spellEnd"/>
      <w:r w:rsidRPr="006B44C8">
        <w:rPr>
          <w:rFonts w:eastAsia="Times New Roman"/>
          <w:b/>
          <w:bCs/>
          <w:i/>
          <w:iCs/>
        </w:rPr>
        <w:t xml:space="preserve"> М.М.</w:t>
      </w:r>
    </w:p>
    <w:p w14:paraId="140FE151" w14:textId="77777777" w:rsidR="006B44C8" w:rsidRDefault="006B44C8" w:rsidP="006B44C8">
      <w:pP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Студентка, 1 курс магистратуры</w:t>
      </w:r>
    </w:p>
    <w:p w14:paraId="77D40D00" w14:textId="7B967633" w:rsidR="00104F8A" w:rsidRDefault="00000000" w:rsidP="006B44C8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 Ломоносова</w:t>
      </w:r>
      <w:r w:rsidR="006B44C8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1D03A413" w14:textId="77777777" w:rsidR="00104F8A" w:rsidRDefault="00000000">
      <w:pPr>
        <w:jc w:val="center"/>
      </w:pPr>
      <w:r>
        <w:rPr>
          <w:i/>
          <w:color w:val="000000"/>
        </w:rPr>
        <w:t xml:space="preserve">E-mail: </w:t>
      </w:r>
      <w:proofErr w:type="spellStart"/>
      <w:r>
        <w:rPr>
          <w:i/>
          <w:color w:val="000000"/>
          <w:u w:val="single"/>
          <w:lang w:val="en-US"/>
        </w:rPr>
        <w:t>Zzl</w:t>
      </w:r>
      <w:proofErr w:type="spellEnd"/>
      <w:r>
        <w:rPr>
          <w:i/>
          <w:color w:val="000000"/>
          <w:u w:val="single"/>
        </w:rPr>
        <w:t>2295869529@163.</w:t>
      </w:r>
      <w:r>
        <w:rPr>
          <w:i/>
          <w:color w:val="000000"/>
          <w:u w:val="single"/>
          <w:lang w:val="en-US"/>
        </w:rPr>
        <w:t>com</w:t>
      </w:r>
    </w:p>
    <w:p w14:paraId="2FBA361C" w14:textId="77777777" w:rsidR="00104F8A" w:rsidRDefault="00000000" w:rsidP="006B44C8">
      <w:pPr>
        <w:ind w:firstLine="397"/>
        <w:jc w:val="both"/>
      </w:pPr>
      <w:r>
        <w:t xml:space="preserve">В последние годы большое внимание уделяется фотоэлектрическим системам </w:t>
      </w:r>
      <w:proofErr w:type="spellStart"/>
      <w:r>
        <w:t>галогенированных</w:t>
      </w:r>
      <w:proofErr w:type="spellEnd"/>
      <w:r>
        <w:t xml:space="preserve"> металлов перовскита. Каждый год эффективность </w:t>
      </w:r>
      <w:proofErr w:type="spellStart"/>
      <w:r>
        <w:t>перовскитных</w:t>
      </w:r>
      <w:proofErr w:type="spellEnd"/>
      <w:r>
        <w:t xml:space="preserve"> солнечных батарей повышается, и в настоящее время эффективность лучших представителей превышает 25%. В дополнение к использованию в солнечных батареях, </w:t>
      </w:r>
      <w:proofErr w:type="spellStart"/>
      <w:r>
        <w:t>галогенидные</w:t>
      </w:r>
      <w:proofErr w:type="spellEnd"/>
      <w:r>
        <w:t xml:space="preserve"> перовскиты также используются для производства </w:t>
      </w:r>
      <w:proofErr w:type="spellStart"/>
      <w:r>
        <w:t>светоизлучателей</w:t>
      </w:r>
      <w:proofErr w:type="spellEnd"/>
      <w:r>
        <w:t xml:space="preserve">, светодиодов (LED), лазеров, фотоэлектрических детекторов и так далее. </w:t>
      </w:r>
      <w:proofErr w:type="spellStart"/>
      <w:r>
        <w:t>Галогенидные</w:t>
      </w:r>
      <w:proofErr w:type="spellEnd"/>
      <w:r>
        <w:t xml:space="preserve"> двойные перовскиты имеют общую химическую формулу А</w:t>
      </w:r>
      <w:r>
        <w:rPr>
          <w:vertAlign w:val="subscript"/>
        </w:rPr>
        <w:t>2</w:t>
      </w:r>
      <w:r>
        <w:t>В</w:t>
      </w:r>
      <w:r>
        <w:rPr>
          <w:vertAlign w:val="superscript"/>
        </w:rPr>
        <w:t>+</w:t>
      </w:r>
      <w:r>
        <w:t>B</w:t>
      </w:r>
      <w:r>
        <w:rPr>
          <w:vertAlign w:val="superscript"/>
        </w:rPr>
        <w:t>3+</w:t>
      </w:r>
      <w:r>
        <w:t>Х</w:t>
      </w:r>
      <w:r>
        <w:rPr>
          <w:vertAlign w:val="subscript"/>
        </w:rPr>
        <w:t>6</w:t>
      </w:r>
      <w:r>
        <w:t>. Состав Cs</w:t>
      </w:r>
      <w:r>
        <w:rPr>
          <w:vertAlign w:val="subscript"/>
        </w:rPr>
        <w:t>2</w:t>
      </w:r>
      <w:r>
        <w:t>AgBiBr</w:t>
      </w:r>
      <w:r>
        <w:rPr>
          <w:vertAlign w:val="subscript"/>
        </w:rPr>
        <w:t>6</w:t>
      </w:r>
      <w:r>
        <w:t xml:space="preserve"> был предложен в качестве одного из неорганических, химически стабильных и нетоксичных заменителей </w:t>
      </w:r>
      <w:proofErr w:type="spellStart"/>
      <w:proofErr w:type="gramStart"/>
      <w:r>
        <w:t>галогенплюмбатов</w:t>
      </w:r>
      <w:proofErr w:type="spellEnd"/>
      <w:r>
        <w:t>(</w:t>
      </w:r>
      <w:proofErr w:type="gramEnd"/>
      <w:r>
        <w:rPr>
          <w:lang w:val="en-US"/>
        </w:rPr>
        <w:t>II</w:t>
      </w:r>
      <w:r>
        <w:t xml:space="preserve">) </w:t>
      </w:r>
      <w:proofErr w:type="spellStart"/>
      <w:r>
        <w:t>метиламмония</w:t>
      </w:r>
      <w:proofErr w:type="spellEnd"/>
      <w:r>
        <w:t>. Однако широкая непрямая запрещенная зона фазы Cs</w:t>
      </w:r>
      <w:r>
        <w:rPr>
          <w:vertAlign w:val="subscript"/>
        </w:rPr>
        <w:t>2</w:t>
      </w:r>
      <w:r>
        <w:t>AgBiBr</w:t>
      </w:r>
      <w:r>
        <w:rPr>
          <w:vertAlign w:val="subscript"/>
        </w:rPr>
        <w:t>6</w:t>
      </w:r>
      <w:r>
        <w:t xml:space="preserve"> предполагает, что его применение в </w:t>
      </w:r>
      <w:proofErr w:type="spellStart"/>
      <w:r>
        <w:t>фотовольтаике</w:t>
      </w:r>
      <w:proofErr w:type="spellEnd"/>
      <w:r>
        <w:t xml:space="preserve"> ограничено. Чтобы решить эту проблему, были предприняты попытки регулировать ширину запрещенной зоны путем легирования материала.</w:t>
      </w:r>
    </w:p>
    <w:p w14:paraId="15BA9569" w14:textId="77777777" w:rsidR="00104F8A" w:rsidRPr="006B44C8" w:rsidRDefault="00000000" w:rsidP="006B44C8">
      <w:pPr>
        <w:ind w:firstLine="397"/>
        <w:jc w:val="both"/>
        <w:rPr>
          <w:color w:val="000000"/>
        </w:rPr>
      </w:pPr>
      <w:r w:rsidRPr="006B44C8">
        <w:rPr>
          <w:color w:val="000000"/>
        </w:rPr>
        <w:t xml:space="preserve">Исследование литературных данных показало, что ширина запрещенной зоны для смешанных составов обычно оказывается меньше, чем у чистых перовскитов на основе </w:t>
      </w:r>
      <w:proofErr w:type="spellStart"/>
      <w:r w:rsidRPr="006B44C8">
        <w:rPr>
          <w:color w:val="000000"/>
        </w:rPr>
        <w:t>Bi</w:t>
      </w:r>
      <w:proofErr w:type="spellEnd"/>
      <w:r w:rsidRPr="006B44C8">
        <w:rPr>
          <w:color w:val="000000"/>
        </w:rPr>
        <w:t xml:space="preserve"> и </w:t>
      </w:r>
      <w:proofErr w:type="spellStart"/>
      <w:r w:rsidRPr="006B44C8">
        <w:rPr>
          <w:color w:val="000000"/>
        </w:rPr>
        <w:t>Sb</w:t>
      </w:r>
      <w:proofErr w:type="spellEnd"/>
      <w:r w:rsidRPr="006B44C8">
        <w:rPr>
          <w:color w:val="000000"/>
        </w:rPr>
        <w:t xml:space="preserve">. </w:t>
      </w:r>
      <w:r w:rsidRPr="006B44C8">
        <w:rPr>
          <w:rFonts w:eastAsia="Times New Roman"/>
          <w:color w:val="000000"/>
        </w:rPr>
        <w:t>Целью научно-исследовательской работы является с</w:t>
      </w:r>
      <w:r w:rsidRPr="006B44C8">
        <w:rPr>
          <w:color w:val="000000"/>
        </w:rPr>
        <w:t xml:space="preserve">интез и изучение фотолюминесцентных свойств сложных галогенидов </w:t>
      </w:r>
      <w:bookmarkStart w:id="0" w:name="OLE_LINK1"/>
      <w:r w:rsidRPr="006B44C8">
        <w:rPr>
          <w:color w:val="000000"/>
        </w:rPr>
        <w:t>Cs</w:t>
      </w:r>
      <w:r w:rsidRPr="006B44C8">
        <w:rPr>
          <w:color w:val="000000"/>
          <w:vertAlign w:val="subscript"/>
        </w:rPr>
        <w:t>2</w:t>
      </w:r>
      <w:r w:rsidRPr="006B44C8">
        <w:rPr>
          <w:color w:val="000000"/>
        </w:rPr>
        <w:t>AgBi</w:t>
      </w:r>
      <w:r w:rsidRPr="006B44C8">
        <w:rPr>
          <w:color w:val="000000"/>
          <w:vertAlign w:val="subscript"/>
        </w:rPr>
        <w:t>1-x</w:t>
      </w:r>
      <w:r w:rsidRPr="006B44C8">
        <w:rPr>
          <w:color w:val="000000"/>
        </w:rPr>
        <w:t>(</w:t>
      </w:r>
      <w:proofErr w:type="spellStart"/>
      <w:r w:rsidRPr="006B44C8">
        <w:rPr>
          <w:color w:val="000000"/>
        </w:rPr>
        <w:t>Sb</w:t>
      </w:r>
      <w:proofErr w:type="spellEnd"/>
      <w:r w:rsidRPr="006B44C8">
        <w:rPr>
          <w:color w:val="000000"/>
        </w:rPr>
        <w:t>/</w:t>
      </w:r>
      <w:proofErr w:type="gramStart"/>
      <w:r w:rsidRPr="006B44C8">
        <w:rPr>
          <w:color w:val="000000"/>
        </w:rPr>
        <w:t>In)</w:t>
      </w:r>
      <w:r w:rsidRPr="006B44C8">
        <w:rPr>
          <w:color w:val="000000"/>
          <w:vertAlign w:val="subscript"/>
        </w:rPr>
        <w:t>x</w:t>
      </w:r>
      <w:r w:rsidRPr="006B44C8">
        <w:rPr>
          <w:color w:val="000000"/>
        </w:rPr>
        <w:t>Br</w:t>
      </w:r>
      <w:proofErr w:type="gramEnd"/>
      <w:r w:rsidRPr="006B44C8">
        <w:rPr>
          <w:color w:val="000000"/>
          <w:vertAlign w:val="subscript"/>
        </w:rPr>
        <w:t>6</w:t>
      </w:r>
      <w:bookmarkEnd w:id="0"/>
      <w:r w:rsidRPr="006B44C8">
        <w:rPr>
          <w:color w:val="000000"/>
        </w:rPr>
        <w:t>.</w:t>
      </w:r>
    </w:p>
    <w:p w14:paraId="47B7D4B4" w14:textId="77777777" w:rsidR="006B44C8" w:rsidRDefault="00000000" w:rsidP="006B44C8">
      <w:pPr>
        <w:ind w:firstLine="397"/>
        <w:jc w:val="both"/>
        <w:rPr>
          <w:lang w:eastAsia="zh-CN"/>
        </w:rPr>
      </w:pPr>
      <w:r>
        <w:t xml:space="preserve">В качестве основных подходов для синтеза составов двойных перовскитов и бинарных бромидов, способных кристаллизоваться из расплава в условиях эксперимента, были выбраны твердофазный и </w:t>
      </w:r>
      <w:proofErr w:type="spellStart"/>
      <w:r>
        <w:t>гетерофазный</w:t>
      </w:r>
      <w:proofErr w:type="spellEnd"/>
      <w:r>
        <w:t xml:space="preserve"> ампульный синтез. Первичное исследование равновесий проводили для тройной системы </w:t>
      </w:r>
      <w:proofErr w:type="spellStart"/>
      <w:r>
        <w:rPr>
          <w:lang w:val="en-US"/>
        </w:rPr>
        <w:t>CsBr</w:t>
      </w:r>
      <w:proofErr w:type="spellEnd"/>
      <w:r>
        <w:t>-</w:t>
      </w:r>
      <w:proofErr w:type="spellStart"/>
      <w:r>
        <w:rPr>
          <w:lang w:val="en-US"/>
        </w:rPr>
        <w:t>BiBr</w:t>
      </w:r>
      <w:proofErr w:type="spellEnd"/>
      <w:r>
        <w:rPr>
          <w:vertAlign w:val="subscript"/>
        </w:rPr>
        <w:t>3</w:t>
      </w:r>
      <w:r>
        <w:t>-</w:t>
      </w:r>
      <w:proofErr w:type="spellStart"/>
      <w:r>
        <w:rPr>
          <w:lang w:val="en-US"/>
        </w:rPr>
        <w:t>SbBr</w:t>
      </w:r>
      <w:proofErr w:type="spellEnd"/>
      <w:r>
        <w:rPr>
          <w:vertAlign w:val="subscript"/>
        </w:rPr>
        <w:t>3</w:t>
      </w:r>
      <w:r>
        <w:t xml:space="preserve"> на примере девяти образцов общего состава </w:t>
      </w:r>
      <w:bookmarkStart w:id="1" w:name="OLE_LINK2"/>
      <w:r>
        <w:t>Cs</w:t>
      </w:r>
      <w:r>
        <w:rPr>
          <w:vertAlign w:val="subscript"/>
        </w:rPr>
        <w:t>3</w:t>
      </w:r>
      <w:r>
        <w:t>Bi</w:t>
      </w:r>
      <w:r>
        <w:rPr>
          <w:vertAlign w:val="subscript"/>
        </w:rPr>
        <w:t>2-x</w:t>
      </w:r>
      <w:r>
        <w:t>Sb</w:t>
      </w:r>
      <w:r>
        <w:rPr>
          <w:vertAlign w:val="subscript"/>
        </w:rPr>
        <w:t>x</w:t>
      </w:r>
      <w:r>
        <w:t>Br</w:t>
      </w:r>
      <w:proofErr w:type="gramStart"/>
      <w:r>
        <w:rPr>
          <w:vertAlign w:val="subscript"/>
        </w:rPr>
        <w:t>9</w:t>
      </w:r>
      <w:bookmarkEnd w:id="1"/>
      <w:r>
        <w:t xml:space="preserve"> ,</w:t>
      </w:r>
      <w:proofErr w:type="gramEnd"/>
      <w:r>
        <w:t xml:space="preserve"> где x=0-0,2, 0,85-1.</w:t>
      </w:r>
      <w:r>
        <w:rPr>
          <w:lang w:eastAsia="zh-CN"/>
        </w:rPr>
        <w:t xml:space="preserve"> </w:t>
      </w:r>
      <w:r>
        <w:t>Образцы синтезировали при температуре отжига 650</w:t>
      </w:r>
      <w:r>
        <w:rPr>
          <w:vertAlign w:val="superscript"/>
        </w:rPr>
        <w:t>◦</w:t>
      </w:r>
      <w:r>
        <w:t>C.</w:t>
      </w:r>
    </w:p>
    <w:p w14:paraId="40E54DB0" w14:textId="77777777" w:rsidR="006B44C8" w:rsidRPr="006B44C8" w:rsidRDefault="00000000" w:rsidP="006B44C8">
      <w:pPr>
        <w:ind w:firstLine="397"/>
        <w:jc w:val="both"/>
        <w:rPr>
          <w:lang w:eastAsia="zh-CN"/>
        </w:rPr>
      </w:pPr>
      <w:r w:rsidRPr="006B44C8">
        <w:rPr>
          <w:rFonts w:eastAsia="Times New Roman"/>
        </w:rPr>
        <w:t>Образцы исследовали методом рентгенофазового анализа. По результатам РФА образцов</w:t>
      </w:r>
      <w:r w:rsidRPr="006B44C8">
        <w:rPr>
          <w:lang w:eastAsia="zh-CN"/>
        </w:rPr>
        <w:t xml:space="preserve"> </w:t>
      </w:r>
      <w:r w:rsidRPr="006B44C8">
        <w:t>Cs</w:t>
      </w:r>
      <w:r w:rsidRPr="006B44C8">
        <w:rPr>
          <w:vertAlign w:val="subscript"/>
        </w:rPr>
        <w:t>3</w:t>
      </w:r>
      <w:r w:rsidRPr="006B44C8">
        <w:t>Bi</w:t>
      </w:r>
      <w:r w:rsidRPr="006B44C8">
        <w:rPr>
          <w:vertAlign w:val="subscript"/>
        </w:rPr>
        <w:t>2-x</w:t>
      </w:r>
      <w:r w:rsidRPr="006B44C8">
        <w:t>Sb</w:t>
      </w:r>
      <w:r w:rsidRPr="006B44C8">
        <w:rPr>
          <w:vertAlign w:val="subscript"/>
        </w:rPr>
        <w:t>x</w:t>
      </w:r>
      <w:r w:rsidRPr="006B44C8">
        <w:t>Br</w:t>
      </w:r>
      <w:r w:rsidRPr="006B44C8">
        <w:rPr>
          <w:vertAlign w:val="subscript"/>
        </w:rPr>
        <w:t xml:space="preserve">9 </w:t>
      </w:r>
      <w:r w:rsidRPr="006B44C8">
        <w:t>п</w:t>
      </w:r>
      <w:r w:rsidRPr="006B44C8">
        <w:rPr>
          <w:rFonts w:eastAsia="Times New Roman"/>
        </w:rPr>
        <w:t xml:space="preserve">олученные </w:t>
      </w:r>
      <w:proofErr w:type="spellStart"/>
      <w:r w:rsidRPr="006B44C8">
        <w:rPr>
          <w:rFonts w:eastAsia="Times New Roman"/>
        </w:rPr>
        <w:t>дифрактограммы</w:t>
      </w:r>
      <w:proofErr w:type="spellEnd"/>
      <w:r w:rsidRPr="006B44C8">
        <w:rPr>
          <w:rFonts w:eastAsia="Times New Roman"/>
        </w:rPr>
        <w:t xml:space="preserve"> соответствуют стандартной рентгеновской дифракционной картине для фазы C</w:t>
      </w:r>
      <w:r w:rsidRPr="006B44C8">
        <w:rPr>
          <w:rFonts w:eastAsia="Times New Roman"/>
          <w:lang w:val="en-US"/>
        </w:rPr>
        <w:t>s</w:t>
      </w:r>
      <w:r w:rsidRPr="006B44C8">
        <w:rPr>
          <w:rFonts w:eastAsia="Times New Roman"/>
          <w:vertAlign w:val="subscript"/>
        </w:rPr>
        <w:t>3</w:t>
      </w:r>
      <w:r w:rsidRPr="006B44C8">
        <w:rPr>
          <w:lang w:val="en-US" w:eastAsia="zh-CN"/>
        </w:rPr>
        <w:t>B</w:t>
      </w:r>
      <w:r w:rsidRPr="006B44C8">
        <w:rPr>
          <w:rFonts w:eastAsia="Times New Roman"/>
        </w:rPr>
        <w:t>i</w:t>
      </w:r>
      <w:r w:rsidRPr="006B44C8">
        <w:rPr>
          <w:rFonts w:eastAsia="Times New Roman"/>
          <w:vertAlign w:val="subscript"/>
        </w:rPr>
        <w:t>2</w:t>
      </w:r>
      <w:r w:rsidRPr="006B44C8">
        <w:rPr>
          <w:lang w:val="en-US" w:eastAsia="zh-CN"/>
        </w:rPr>
        <w:t>B</w:t>
      </w:r>
      <w:r w:rsidRPr="006B44C8">
        <w:rPr>
          <w:rFonts w:eastAsia="Times New Roman"/>
        </w:rPr>
        <w:t>r</w:t>
      </w:r>
      <w:r w:rsidRPr="006B44C8">
        <w:rPr>
          <w:rFonts w:eastAsia="Times New Roman"/>
          <w:vertAlign w:val="subscript"/>
        </w:rPr>
        <w:t>9</w:t>
      </w:r>
      <w:r w:rsidRPr="006B44C8">
        <w:rPr>
          <w:rFonts w:eastAsia="Times New Roman"/>
        </w:rPr>
        <w:t xml:space="preserve"> без фазовых примесей, что указывает на относительную чистоту полученных фаз. </w:t>
      </w:r>
      <w:r w:rsidRPr="006B44C8">
        <w:t>Гексагональная структура и пространственная группа (P-3m1) фаз Cs</w:t>
      </w:r>
      <w:r w:rsidRPr="006B44C8">
        <w:rPr>
          <w:vertAlign w:val="subscript"/>
        </w:rPr>
        <w:t>3</w:t>
      </w:r>
      <w:r w:rsidRPr="006B44C8">
        <w:t>Bi</w:t>
      </w:r>
      <w:r w:rsidRPr="006B44C8">
        <w:rPr>
          <w:vertAlign w:val="subscript"/>
        </w:rPr>
        <w:t>2</w:t>
      </w:r>
      <w:r w:rsidRPr="006B44C8">
        <w:t>Br</w:t>
      </w:r>
      <w:r w:rsidRPr="006B44C8">
        <w:rPr>
          <w:vertAlign w:val="subscript"/>
        </w:rPr>
        <w:t>9</w:t>
      </w:r>
      <w:r w:rsidRPr="006B44C8">
        <w:t xml:space="preserve"> и Cs</w:t>
      </w:r>
      <w:r w:rsidRPr="006B44C8">
        <w:rPr>
          <w:vertAlign w:val="subscript"/>
        </w:rPr>
        <w:t>3</w:t>
      </w:r>
      <w:r w:rsidRPr="006B44C8">
        <w:t>Sb</w:t>
      </w:r>
      <w:r w:rsidRPr="006B44C8">
        <w:rPr>
          <w:vertAlign w:val="subscript"/>
        </w:rPr>
        <w:t>2</w:t>
      </w:r>
      <w:r w:rsidRPr="006B44C8">
        <w:t>Br</w:t>
      </w:r>
      <w:r w:rsidRPr="006B44C8">
        <w:rPr>
          <w:vertAlign w:val="subscript"/>
        </w:rPr>
        <w:t>9</w:t>
      </w:r>
      <w:r w:rsidRPr="006B44C8">
        <w:t xml:space="preserve"> одинаковы. При этом, поскольку ионный радиус Sb</w:t>
      </w:r>
      <w:r w:rsidRPr="006B44C8">
        <w:rPr>
          <w:vertAlign w:val="superscript"/>
        </w:rPr>
        <w:t>3+</w:t>
      </w:r>
      <w:r w:rsidRPr="006B44C8">
        <w:t xml:space="preserve"> меньше ионного радиуса Bi</w:t>
      </w:r>
      <w:r w:rsidRPr="006B44C8">
        <w:rPr>
          <w:vertAlign w:val="superscript"/>
        </w:rPr>
        <w:t>3+</w:t>
      </w:r>
      <w:r w:rsidRPr="006B44C8">
        <w:t>, характерные пики (102) и (202) в данных РФА смещаются в сторону большего угла 2θ по мере увеличения степени замещения, что указывает на вхождение Sb</w:t>
      </w:r>
      <w:r w:rsidRPr="006B44C8">
        <w:rPr>
          <w:vertAlign w:val="superscript"/>
        </w:rPr>
        <w:t>3+</w:t>
      </w:r>
      <w:r w:rsidRPr="006B44C8">
        <w:t xml:space="preserve"> в решетка Cs</w:t>
      </w:r>
      <w:r w:rsidRPr="006B44C8">
        <w:rPr>
          <w:vertAlign w:val="subscript"/>
        </w:rPr>
        <w:t>3</w:t>
      </w:r>
      <w:r w:rsidRPr="006B44C8">
        <w:t>Bi</w:t>
      </w:r>
      <w:r w:rsidRPr="006B44C8">
        <w:rPr>
          <w:vertAlign w:val="subscript"/>
        </w:rPr>
        <w:t>2</w:t>
      </w:r>
      <w:r w:rsidRPr="006B44C8">
        <w:t>Br</w:t>
      </w:r>
      <w:r w:rsidRPr="006B44C8">
        <w:rPr>
          <w:vertAlign w:val="subscript"/>
        </w:rPr>
        <w:t>9</w:t>
      </w:r>
      <w:r w:rsidRPr="006B44C8">
        <w:t>.</w:t>
      </w:r>
    </w:p>
    <w:p w14:paraId="58104702" w14:textId="77777777" w:rsidR="006B44C8" w:rsidRDefault="00000000" w:rsidP="006B44C8">
      <w:pPr>
        <w:ind w:firstLine="397"/>
        <w:jc w:val="both"/>
        <w:rPr>
          <w:lang w:eastAsia="zh-CN"/>
        </w:rPr>
      </w:pPr>
      <w:r>
        <w:rPr>
          <w:lang w:eastAsia="zh-CN"/>
        </w:rPr>
        <w:t xml:space="preserve">Чтобы лучше продемонстрировать успешное легирование </w:t>
      </w:r>
      <w:r>
        <w:rPr>
          <w:lang w:val="en-US" w:eastAsia="zh-CN"/>
        </w:rPr>
        <w:t>Sb</w:t>
      </w:r>
      <w:r>
        <w:rPr>
          <w:vertAlign w:val="superscript"/>
          <w:lang w:eastAsia="zh-CN"/>
        </w:rPr>
        <w:t>3+</w:t>
      </w:r>
      <w:r>
        <w:rPr>
          <w:lang w:eastAsia="zh-CN"/>
        </w:rPr>
        <w:t xml:space="preserve">, параметры решетки были рассчитаны с помощью программы </w:t>
      </w:r>
      <w:r>
        <w:rPr>
          <w:lang w:val="en-US" w:eastAsia="zh-CN"/>
        </w:rPr>
        <w:t>Jana</w:t>
      </w:r>
      <w:r>
        <w:rPr>
          <w:lang w:eastAsia="zh-CN"/>
        </w:rPr>
        <w:t xml:space="preserve">2006. Поскольку ионы </w:t>
      </w:r>
      <w:r>
        <w:rPr>
          <w:lang w:val="en-US" w:eastAsia="zh-CN"/>
        </w:rPr>
        <w:t>Bi</w:t>
      </w:r>
      <w:r>
        <w:rPr>
          <w:vertAlign w:val="superscript"/>
          <w:lang w:eastAsia="zh-CN"/>
        </w:rPr>
        <w:t>3+</w:t>
      </w:r>
      <w:r>
        <w:rPr>
          <w:lang w:eastAsia="zh-CN"/>
        </w:rPr>
        <w:t xml:space="preserve"> (154,7</w:t>
      </w:r>
      <w:r>
        <w:rPr>
          <w:lang w:val="en-US" w:eastAsia="zh-CN"/>
        </w:rPr>
        <w:t>pm</w:t>
      </w:r>
      <w:r>
        <w:rPr>
          <w:lang w:eastAsia="zh-CN"/>
        </w:rPr>
        <w:t xml:space="preserve">) и </w:t>
      </w:r>
      <w:r>
        <w:rPr>
          <w:lang w:val="en-US" w:eastAsia="zh-CN"/>
        </w:rPr>
        <w:t>Sb</w:t>
      </w:r>
      <w:r>
        <w:rPr>
          <w:vertAlign w:val="superscript"/>
          <w:lang w:eastAsia="zh-CN"/>
        </w:rPr>
        <w:t>3+</w:t>
      </w:r>
      <w:r>
        <w:rPr>
          <w:lang w:eastAsia="zh-CN"/>
        </w:rPr>
        <w:t xml:space="preserve"> (145</w:t>
      </w:r>
      <w:r>
        <w:rPr>
          <w:lang w:val="en-US" w:eastAsia="zh-CN"/>
        </w:rPr>
        <w:t>pm</w:t>
      </w:r>
      <w:r>
        <w:rPr>
          <w:lang w:eastAsia="zh-CN"/>
        </w:rPr>
        <w:t xml:space="preserve">) имеют близкие ионные радиусы и одинаковую кристаллическую структуру двух концевых элементов, линейная зависимость изменения объема элементарной ячейки вполне соответствует требованиям закона </w:t>
      </w:r>
      <w:proofErr w:type="spellStart"/>
      <w:r>
        <w:rPr>
          <w:lang w:eastAsia="zh-CN"/>
        </w:rPr>
        <w:t>Вегарда</w:t>
      </w:r>
      <w:proofErr w:type="spellEnd"/>
      <w:r>
        <w:rPr>
          <w:lang w:eastAsia="zh-CN"/>
        </w:rPr>
        <w:t xml:space="preserve"> для твердых растворов замещения.</w:t>
      </w:r>
    </w:p>
    <w:p w14:paraId="4CB377E9" w14:textId="77777777" w:rsidR="006B44C8" w:rsidRPr="006B44C8" w:rsidRDefault="00000000" w:rsidP="006B44C8">
      <w:pPr>
        <w:ind w:firstLine="397"/>
        <w:jc w:val="both"/>
        <w:rPr>
          <w:lang w:eastAsia="zh-CN"/>
        </w:rPr>
      </w:pPr>
      <w:r w:rsidRPr="006B44C8">
        <w:rPr>
          <w:lang w:eastAsia="zh-CN"/>
        </w:rPr>
        <w:t xml:space="preserve">В дальнейшем планируется повторить эксперимент для составов </w:t>
      </w:r>
      <w:r w:rsidRPr="006B44C8">
        <w:t>Cs</w:t>
      </w:r>
      <w:r w:rsidRPr="006B44C8">
        <w:rPr>
          <w:vertAlign w:val="subscript"/>
        </w:rPr>
        <w:t>3</w:t>
      </w:r>
      <w:r w:rsidRPr="006B44C8">
        <w:t>Bi</w:t>
      </w:r>
      <w:r w:rsidRPr="006B44C8">
        <w:rPr>
          <w:vertAlign w:val="subscript"/>
        </w:rPr>
        <w:t>2-х</w:t>
      </w:r>
      <w:r w:rsidRPr="006B44C8">
        <w:t>(</w:t>
      </w:r>
      <w:r w:rsidRPr="006B44C8">
        <w:rPr>
          <w:lang w:val="en-US"/>
        </w:rPr>
        <w:t>Sb</w:t>
      </w:r>
      <w:r w:rsidRPr="006B44C8">
        <w:t>/</w:t>
      </w:r>
      <w:proofErr w:type="gramStart"/>
      <w:r w:rsidRPr="006B44C8">
        <w:rPr>
          <w:lang w:val="en-US"/>
        </w:rPr>
        <w:t>In</w:t>
      </w:r>
      <w:r w:rsidRPr="006B44C8">
        <w:t>)</w:t>
      </w:r>
      <w:r w:rsidRPr="006B44C8">
        <w:rPr>
          <w:vertAlign w:val="subscript"/>
          <w:lang w:val="en-US"/>
        </w:rPr>
        <w:t>x</w:t>
      </w:r>
      <w:r w:rsidRPr="006B44C8">
        <w:t>Br</w:t>
      </w:r>
      <w:proofErr w:type="gramEnd"/>
      <w:r w:rsidRPr="006B44C8">
        <w:rPr>
          <w:vertAlign w:val="subscript"/>
        </w:rPr>
        <w:t>9</w:t>
      </w:r>
      <w:r w:rsidRPr="006B44C8">
        <w:rPr>
          <w:lang w:eastAsia="zh-CN"/>
        </w:rPr>
        <w:t xml:space="preserve">, а также выбрать условия для синтеза однофазных образцов общего состава </w:t>
      </w:r>
      <w:r w:rsidRPr="006B44C8">
        <w:t>Cs</w:t>
      </w:r>
      <w:r w:rsidRPr="006B44C8">
        <w:rPr>
          <w:vertAlign w:val="subscript"/>
        </w:rPr>
        <w:t>2</w:t>
      </w:r>
      <w:r w:rsidRPr="006B44C8">
        <w:t>AgBi</w:t>
      </w:r>
      <w:r w:rsidRPr="006B44C8">
        <w:rPr>
          <w:vertAlign w:val="subscript"/>
        </w:rPr>
        <w:t>1-x</w:t>
      </w:r>
      <w:r w:rsidRPr="006B44C8">
        <w:t>(</w:t>
      </w:r>
      <w:proofErr w:type="spellStart"/>
      <w:r w:rsidRPr="006B44C8">
        <w:t>Sb</w:t>
      </w:r>
      <w:proofErr w:type="spellEnd"/>
      <w:r w:rsidRPr="006B44C8">
        <w:t>/In)</w:t>
      </w:r>
      <w:r w:rsidRPr="006B44C8">
        <w:rPr>
          <w:vertAlign w:val="subscript"/>
        </w:rPr>
        <w:t>x</w:t>
      </w:r>
      <w:r w:rsidRPr="006B44C8">
        <w:t>Br</w:t>
      </w:r>
      <w:r w:rsidRPr="006B44C8">
        <w:rPr>
          <w:vertAlign w:val="subscript"/>
        </w:rPr>
        <w:t>6</w:t>
      </w:r>
      <w:r w:rsidRPr="006B44C8">
        <w:t>, установить границы областей растворимости для соответствующих твердых растворов замещения.</w:t>
      </w:r>
    </w:p>
    <w:p w14:paraId="1B35AE83" w14:textId="77777777" w:rsidR="00104F8A" w:rsidRPr="00701B33" w:rsidRDefault="00000000">
      <w:pPr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D46D532" w14:textId="1D2329BA" w:rsidR="00701B33" w:rsidRPr="00701B33" w:rsidRDefault="006B44C8" w:rsidP="006B44C8">
      <w:pPr>
        <w:jc w:val="both"/>
        <w:rPr>
          <w:lang w:eastAsia="zh-CN"/>
        </w:rPr>
      </w:pPr>
      <w:r>
        <w:rPr>
          <w:lang w:val="en-US" w:eastAsia="zh-CN"/>
        </w:rPr>
        <w:t xml:space="preserve">1. </w:t>
      </w:r>
      <w:r w:rsidR="00000000">
        <w:rPr>
          <w:rFonts w:hint="eastAsia"/>
          <w:lang w:val="en-US" w:eastAsia="zh-CN"/>
        </w:rPr>
        <w:t xml:space="preserve">Dai S, Gan X, Li K, et al. Bandgap lowering in mixed alloys of </w:t>
      </w:r>
      <w:r w:rsidR="00000000" w:rsidRPr="00701B33">
        <w:rPr>
          <w:lang w:val="en-US"/>
        </w:rPr>
        <w:t>Cs</w:t>
      </w:r>
      <w:r w:rsidR="00000000" w:rsidRPr="00701B33">
        <w:rPr>
          <w:vertAlign w:val="subscript"/>
          <w:lang w:val="en-US"/>
        </w:rPr>
        <w:t>3</w:t>
      </w:r>
      <w:r w:rsidR="00000000" w:rsidRPr="00701B33">
        <w:rPr>
          <w:lang w:val="en-US"/>
        </w:rPr>
        <w:t>Bi</w:t>
      </w:r>
      <w:r w:rsidR="00000000" w:rsidRPr="00701B33">
        <w:rPr>
          <w:vertAlign w:val="subscript"/>
          <w:lang w:val="en-US"/>
        </w:rPr>
        <w:t>2-x</w:t>
      </w:r>
      <w:r w:rsidR="00000000" w:rsidRPr="00701B33">
        <w:rPr>
          <w:lang w:val="en-US"/>
        </w:rPr>
        <w:t>Sb</w:t>
      </w:r>
      <w:r w:rsidR="00000000" w:rsidRPr="00701B33">
        <w:rPr>
          <w:vertAlign w:val="subscript"/>
          <w:lang w:val="en-US"/>
        </w:rPr>
        <w:t>x</w:t>
      </w:r>
      <w:r w:rsidR="00000000" w:rsidRPr="00701B33">
        <w:rPr>
          <w:lang w:val="en-US"/>
        </w:rPr>
        <w:t>Br</w:t>
      </w:r>
      <w:r w:rsidR="00000000" w:rsidRPr="00701B33">
        <w:rPr>
          <w:vertAlign w:val="subscript"/>
          <w:lang w:val="en-US"/>
        </w:rPr>
        <w:t>9</w:t>
      </w:r>
      <w:r w:rsidR="00000000">
        <w:rPr>
          <w:rFonts w:hint="eastAsia"/>
          <w:vertAlign w:val="subscript"/>
          <w:lang w:val="en-US" w:eastAsia="zh-CN"/>
        </w:rPr>
        <w:t xml:space="preserve"> </w:t>
      </w:r>
      <w:r w:rsidR="00000000">
        <w:rPr>
          <w:rFonts w:hint="eastAsia"/>
          <w:lang w:val="en-US" w:eastAsia="zh-CN"/>
        </w:rPr>
        <w:t>perovskite powders[J]. Physical Chemistry Chemical Physics, 2023, 25(45): 30993-31002.</w:t>
      </w:r>
    </w:p>
    <w:sectPr w:rsidR="00701B33" w:rsidRPr="00701B33" w:rsidSect="00A34ED9">
      <w:pgSz w:w="11906" w:h="16838"/>
      <w:pgMar w:top="1134" w:right="1361" w:bottom="1134" w:left="136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1CAD1CF"/>
    <w:multiLevelType w:val="singleLevel"/>
    <w:tmpl w:val="91CAD1CF"/>
    <w:lvl w:ilvl="0">
      <w:start w:val="1"/>
      <w:numFmt w:val="decimal"/>
      <w:suff w:val="space"/>
      <w:lvlText w:val="%1."/>
      <w:lvlJc w:val="left"/>
    </w:lvl>
  </w:abstractNum>
  <w:num w:numId="1" w16cid:durableId="1646276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2Yzk4NGVlZTI4ZjM4MzI5NDA5YzczZjNmMzk2ZmEifQ=="/>
  </w:docVars>
  <w:rsids>
    <w:rsidRoot w:val="008223C0"/>
    <w:rsid w:val="00092EFB"/>
    <w:rsid w:val="000B0585"/>
    <w:rsid w:val="000E3F4A"/>
    <w:rsid w:val="00104F8A"/>
    <w:rsid w:val="001B6B95"/>
    <w:rsid w:val="002427A6"/>
    <w:rsid w:val="00245B12"/>
    <w:rsid w:val="00264F69"/>
    <w:rsid w:val="002E4920"/>
    <w:rsid w:val="003816A6"/>
    <w:rsid w:val="00390E2A"/>
    <w:rsid w:val="003E046B"/>
    <w:rsid w:val="003F08C8"/>
    <w:rsid w:val="00471FDF"/>
    <w:rsid w:val="004A5A43"/>
    <w:rsid w:val="00514FD7"/>
    <w:rsid w:val="0055142D"/>
    <w:rsid w:val="00562240"/>
    <w:rsid w:val="00594687"/>
    <w:rsid w:val="00665659"/>
    <w:rsid w:val="006B44C8"/>
    <w:rsid w:val="00701B33"/>
    <w:rsid w:val="007417BC"/>
    <w:rsid w:val="00765EC1"/>
    <w:rsid w:val="00805329"/>
    <w:rsid w:val="008223C0"/>
    <w:rsid w:val="008A26A8"/>
    <w:rsid w:val="00932366"/>
    <w:rsid w:val="009743E7"/>
    <w:rsid w:val="009B58B6"/>
    <w:rsid w:val="009D2286"/>
    <w:rsid w:val="009F594E"/>
    <w:rsid w:val="00A34ED9"/>
    <w:rsid w:val="00B544DE"/>
    <w:rsid w:val="00C3198F"/>
    <w:rsid w:val="00CA6D08"/>
    <w:rsid w:val="00CB358C"/>
    <w:rsid w:val="00CC17E5"/>
    <w:rsid w:val="00DB1888"/>
    <w:rsid w:val="00DC7120"/>
    <w:rsid w:val="00E121B1"/>
    <w:rsid w:val="00E6319B"/>
    <w:rsid w:val="00EC60DF"/>
    <w:rsid w:val="00ED5E54"/>
    <w:rsid w:val="00F034F0"/>
    <w:rsid w:val="00F50952"/>
    <w:rsid w:val="00F652BC"/>
    <w:rsid w:val="00F77BA9"/>
    <w:rsid w:val="00FA654C"/>
    <w:rsid w:val="00FD18C6"/>
    <w:rsid w:val="00FF7D0C"/>
    <w:rsid w:val="0B0122D2"/>
    <w:rsid w:val="0DF27A00"/>
    <w:rsid w:val="19281303"/>
    <w:rsid w:val="1F844D88"/>
    <w:rsid w:val="1F8E5297"/>
    <w:rsid w:val="286D7229"/>
    <w:rsid w:val="30C16364"/>
    <w:rsid w:val="3A6457CD"/>
    <w:rsid w:val="4F9B74A0"/>
    <w:rsid w:val="582C3295"/>
    <w:rsid w:val="5AA82B94"/>
    <w:rsid w:val="5C371DFE"/>
    <w:rsid w:val="60805044"/>
    <w:rsid w:val="6609788A"/>
    <w:rsid w:val="6A042842"/>
    <w:rsid w:val="6A7B497A"/>
    <w:rsid w:val="6C164AAF"/>
    <w:rsid w:val="7D1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C5947"/>
  <w15:docId w15:val="{752C875A-9753-47B6-AC17-65E8AB4C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paragraph" w:styleId="a3">
    <w:name w:val="List Paragraph"/>
    <w:basedOn w:val="a"/>
    <w:uiPriority w:val="99"/>
    <w:unhideWhenUsed/>
    <w:rsid w:val="00701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2898</Characters>
  <Application>Microsoft Office Word</Application>
  <DocSecurity>0</DocSecurity>
  <Lines>24</Lines>
  <Paragraphs>6</Paragraphs>
  <ScaleCrop>false</ScaleCrop>
  <Company>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тезисов:</dc:title>
  <dc:creator>tatjana</dc:creator>
  <cp:lastModifiedBy>Иван Chernoukhov</cp:lastModifiedBy>
  <cp:revision>4</cp:revision>
  <dcterms:created xsi:type="dcterms:W3CDTF">2024-03-18T23:40:00Z</dcterms:created>
  <dcterms:modified xsi:type="dcterms:W3CDTF">2024-03-18T23:41:00Z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C6ACC03691D44D12AB7B773988895668_13</vt:lpwstr>
  </property>
</Properties>
</file>