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0928" w14:textId="77777777" w:rsidR="00E43A7A" w:rsidRDefault="00000000">
      <w:pPr>
        <w:jc w:val="center"/>
        <w:rPr>
          <w:b/>
        </w:rPr>
      </w:pPr>
      <w:r>
        <w:rPr>
          <w:b/>
        </w:rPr>
        <w:t xml:space="preserve">Синтез фосфатов, </w:t>
      </w:r>
      <w:proofErr w:type="spellStart"/>
      <w:r>
        <w:rPr>
          <w:b/>
        </w:rPr>
        <w:t>силикофосфатов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фосфатогерманатов</w:t>
      </w:r>
      <w:proofErr w:type="spellEnd"/>
      <w:r>
        <w:rPr>
          <w:b/>
        </w:rPr>
        <w:t xml:space="preserve"> кальция-натрия методом </w:t>
      </w:r>
      <w:proofErr w:type="spellStart"/>
      <w:r>
        <w:rPr>
          <w:b/>
        </w:rPr>
        <w:t>Печини</w:t>
      </w:r>
      <w:proofErr w:type="spellEnd"/>
    </w:p>
    <w:p w14:paraId="01000000" w14:textId="44AD8D0D" w:rsidR="00335E6A" w:rsidRDefault="00000000">
      <w:pPr>
        <w:jc w:val="center"/>
        <w:rPr>
          <w:b/>
          <w:i/>
        </w:rPr>
      </w:pPr>
      <w:r>
        <w:rPr>
          <w:b/>
          <w:i/>
        </w:rPr>
        <w:t>Сафронова С.И.</w:t>
      </w:r>
      <w:r>
        <w:rPr>
          <w:b/>
          <w:i/>
          <w:vertAlign w:val="superscript"/>
        </w:rPr>
        <w:t>1</w:t>
      </w:r>
      <w:r>
        <w:rPr>
          <w:b/>
          <w:i/>
        </w:rPr>
        <w:t>, Ларионов Д.С.</w:t>
      </w:r>
      <w:r>
        <w:rPr>
          <w:b/>
          <w:i/>
          <w:vertAlign w:val="superscript"/>
        </w:rPr>
        <w:t>1</w:t>
      </w:r>
      <w:r>
        <w:rPr>
          <w:b/>
          <w:i/>
          <w:vertAlign w:val="subscript"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Путляев</w:t>
      </w:r>
      <w:proofErr w:type="spellEnd"/>
      <w:r>
        <w:rPr>
          <w:b/>
          <w:i/>
        </w:rPr>
        <w:t xml:space="preserve"> В.И.</w:t>
      </w:r>
      <w:r>
        <w:rPr>
          <w:b/>
          <w:i/>
          <w:vertAlign w:val="superscript"/>
        </w:rPr>
        <w:t>1,2</w:t>
      </w:r>
    </w:p>
    <w:p w14:paraId="02000000" w14:textId="77777777" w:rsidR="00335E6A" w:rsidRDefault="00000000">
      <w:pPr>
        <w:jc w:val="center"/>
      </w:pPr>
      <w:r>
        <w:rPr>
          <w:i/>
        </w:rPr>
        <w:t>Студентка, 2 курс бакалавриата</w:t>
      </w:r>
    </w:p>
    <w:p w14:paraId="04000000" w14:textId="42A915B0" w:rsidR="00335E6A" w:rsidRDefault="00000000">
      <w:pPr>
        <w:jc w:val="center"/>
        <w:rPr>
          <w:i/>
        </w:rPr>
      </w:pPr>
      <w:r>
        <w:rPr>
          <w:i/>
          <w:vertAlign w:val="superscript"/>
        </w:rPr>
        <w:t>1</w:t>
      </w:r>
      <w:r>
        <w:rPr>
          <w:i/>
        </w:rPr>
        <w:t>Московский государственный университет имени М.В. Ломоносова, </w:t>
      </w:r>
      <w:r w:rsidR="00E43A7A">
        <w:rPr>
          <w:i/>
        </w:rPr>
        <w:br/>
      </w:r>
      <w:r>
        <w:rPr>
          <w:i/>
        </w:rPr>
        <w:t>факультет наук о материалах, Москва, Россия</w:t>
      </w:r>
    </w:p>
    <w:p w14:paraId="06000000" w14:textId="22172AF9" w:rsidR="00335E6A" w:rsidRDefault="00000000">
      <w:pPr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>Московский государственный университет имени М.В. Ломоносова, </w:t>
      </w:r>
      <w:r w:rsidR="00E43A7A">
        <w:rPr>
          <w:i/>
        </w:rPr>
        <w:br/>
      </w:r>
      <w:r>
        <w:rPr>
          <w:i/>
        </w:rPr>
        <w:t>химический факультет, Москва, Россия</w:t>
      </w:r>
    </w:p>
    <w:p w14:paraId="07000000" w14:textId="77777777" w:rsidR="00335E6A" w:rsidRDefault="00000000" w:rsidP="005B36C6">
      <w:pPr>
        <w:jc w:val="center"/>
      </w:pPr>
      <w:r>
        <w:rPr>
          <w:i/>
        </w:rPr>
        <w:t xml:space="preserve">E-mail: </w:t>
      </w:r>
      <w:r>
        <w:rPr>
          <w:i/>
          <w:u w:val="single"/>
        </w:rPr>
        <w:t>sofia.safronova.0528@gmail.com</w:t>
      </w:r>
    </w:p>
    <w:p w14:paraId="08000000" w14:textId="77777777" w:rsidR="00335E6A" w:rsidRDefault="00000000">
      <w:pPr>
        <w:ind w:firstLine="397"/>
        <w:jc w:val="both"/>
      </w:pPr>
      <w:proofErr w:type="spellStart"/>
      <w:r>
        <w:t>Трикальцийфосфат</w:t>
      </w:r>
      <w:proofErr w:type="spellEnd"/>
      <w:r>
        <w:t xml:space="preserve">, а также натриевый </w:t>
      </w:r>
      <w:proofErr w:type="spellStart"/>
      <w:r>
        <w:t>ренанит</w:t>
      </w:r>
      <w:proofErr w:type="spellEnd"/>
      <w:r>
        <w:t xml:space="preserve"> – перспективная основа для производства биоимплантов из-за их высокой скорости резорбции. Дальнейшее усложнение состава включением кремния, участвующего в метаболизме костей, и германия – шаг на пути к получению </w:t>
      </w:r>
      <w:proofErr w:type="spellStart"/>
      <w:r>
        <w:t>остеостимулирующих</w:t>
      </w:r>
      <w:proofErr w:type="spellEnd"/>
      <w:r>
        <w:t xml:space="preserve"> материалов. Для достижения </w:t>
      </w:r>
      <w:proofErr w:type="spellStart"/>
      <w:r>
        <w:t>остеокондуктивности</w:t>
      </w:r>
      <w:proofErr w:type="spellEnd"/>
      <w:r>
        <w:t xml:space="preserve"> имплантата в его структуре должны быть макропоры, поэтому применяется метод стереолитографической 3D-печати, который налагает требования на размер исходных частиц (оптимально 100–1000 нм). Для получения таких порошков подходит золь-гель метод, в частности метод </w:t>
      </w:r>
      <w:proofErr w:type="spellStart"/>
      <w:r>
        <w:t>Печини</w:t>
      </w:r>
      <w:proofErr w:type="spellEnd"/>
      <w:r>
        <w:t>. При выборе прекурсоров необходимо учитывать возможность выпадения осадков фосфатов кальция.</w:t>
      </w:r>
    </w:p>
    <w:p w14:paraId="18482F4B" w14:textId="77777777" w:rsidR="00343067" w:rsidRDefault="00000000">
      <w:pPr>
        <w:ind w:firstLine="397"/>
        <w:jc w:val="both"/>
      </w:pPr>
      <w:proofErr w:type="spellStart"/>
      <w:r>
        <w:t>Cинтез</w:t>
      </w:r>
      <w:proofErr w:type="spellEnd"/>
      <w:r>
        <w:t xml:space="preserve"> составов CaNaPO</w:t>
      </w:r>
      <w:r>
        <w:rPr>
          <w:vertAlign w:val="subscript"/>
        </w:rPr>
        <w:t>4</w:t>
      </w:r>
      <w:r>
        <w:t>, 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, Ca</w:t>
      </w:r>
      <w:r>
        <w:rPr>
          <w:vertAlign w:val="subscript"/>
        </w:rPr>
        <w:t>2+</w:t>
      </w:r>
      <w:proofErr w:type="gramStart"/>
      <w:r>
        <w:rPr>
          <w:vertAlign w:val="subscript"/>
        </w:rPr>
        <w:t>n</w:t>
      </w:r>
      <w:r>
        <w:t>Na</w:t>
      </w:r>
      <w:r>
        <w:rPr>
          <w:vertAlign w:val="subscript"/>
        </w:rPr>
        <w:t>n</w:t>
      </w:r>
      <w:r>
        <w:t>(</w:t>
      </w:r>
      <w:proofErr w:type="gramEnd"/>
      <w:r>
        <w:t>РО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n</w:t>
      </w:r>
      <w:r>
        <w:t>GeO</w:t>
      </w:r>
      <w:r>
        <w:rPr>
          <w:vertAlign w:val="subscript"/>
        </w:rPr>
        <w:t xml:space="preserve">4 </w:t>
      </w:r>
      <w:r>
        <w:t>и Ca</w:t>
      </w:r>
      <w:r>
        <w:rPr>
          <w:vertAlign w:val="subscript"/>
        </w:rPr>
        <w:t>2+n</w:t>
      </w:r>
      <w:r>
        <w:t>Na</w:t>
      </w:r>
      <w:r>
        <w:rPr>
          <w:vertAlign w:val="subscript"/>
        </w:rPr>
        <w:t xml:space="preserve">n </w:t>
      </w:r>
      <w:r>
        <w:t>(PО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n</w:t>
      </w:r>
      <w:r>
        <w:t>GeO</w:t>
      </w:r>
      <w:r>
        <w:rPr>
          <w:vertAlign w:val="subscript"/>
        </w:rPr>
        <w:t>4</w:t>
      </w:r>
      <w:r>
        <w:t xml:space="preserve">, где n = 1, 2, 3, осуществлялся по методу </w:t>
      </w:r>
      <w:proofErr w:type="spellStart"/>
      <w:r>
        <w:t>Печини</w:t>
      </w:r>
      <w:proofErr w:type="spellEnd"/>
      <w:r>
        <w:t xml:space="preserve"> с использованием </w:t>
      </w:r>
      <w:proofErr w:type="spellStart"/>
      <w:r>
        <w:t>тетраэтоксисилана</w:t>
      </w:r>
      <w:proofErr w:type="spellEnd"/>
      <w:r>
        <w:t xml:space="preserve"> (ТЕОС) в качестве источника кремния, </w:t>
      </w:r>
      <w:proofErr w:type="spellStart"/>
      <w:r>
        <w:t>этилендиаминтетраметиленфосфоновая</w:t>
      </w:r>
      <w:proofErr w:type="spellEnd"/>
      <w:r>
        <w:t xml:space="preserve"> кислота (ЭДТМФ) и </w:t>
      </w:r>
      <w:proofErr w:type="spellStart"/>
      <w:r>
        <w:t>триметафосфат</w:t>
      </w:r>
      <w:proofErr w:type="spellEnd"/>
      <w:r>
        <w:t xml:space="preserve"> натрия выступали как источники фосфора. Источником металлов служили соответствующие нитраты. В результате были получены гели, которые затем подвергались термической обработке при различных температурах (500°C, 600°C, 800°C, 1000°C).</w:t>
      </w:r>
    </w:p>
    <w:p w14:paraId="0A000000" w14:textId="77777777" w:rsidR="00335E6A" w:rsidRPr="00343067" w:rsidRDefault="00000000">
      <w:pPr>
        <w:ind w:firstLine="397"/>
        <w:jc w:val="both"/>
      </w:pPr>
      <w:r w:rsidRPr="00343067">
        <w:t xml:space="preserve">При повышении температуры по данным рентгенофазового анализа доля аморфной составляющей снижается. Так, для </w:t>
      </w:r>
      <w:proofErr w:type="spellStart"/>
      <w:r w:rsidRPr="00343067">
        <w:t>трикальциевого</w:t>
      </w:r>
      <w:proofErr w:type="spellEnd"/>
      <w:r w:rsidRPr="00343067">
        <w:t xml:space="preserve"> фосфата образование </w:t>
      </w:r>
      <w:proofErr w:type="spellStart"/>
      <w:r w:rsidRPr="00343067">
        <w:t>кристалличной</w:t>
      </w:r>
      <w:proofErr w:type="spellEnd"/>
      <w:r w:rsidRPr="00343067">
        <w:t xml:space="preserve"> фазы наблюдается выше 600°C, а в случае </w:t>
      </w:r>
      <w:proofErr w:type="spellStart"/>
      <w:r w:rsidRPr="00343067">
        <w:t>ренанита</w:t>
      </w:r>
      <w:proofErr w:type="spellEnd"/>
      <w:r w:rsidRPr="00343067">
        <w:t xml:space="preserve"> образцы хорошо закристаллизованы уже при 500-600°C. Использование </w:t>
      </w:r>
      <w:proofErr w:type="spellStart"/>
      <w:r w:rsidRPr="00343067">
        <w:t>триметафосфата</w:t>
      </w:r>
      <w:proofErr w:type="spellEnd"/>
      <w:r w:rsidRPr="00343067">
        <w:t xml:space="preserve"> позволяет получить конечные соединения без нарушения стехиометрии. В случае ЭДТМФ составы, рассчитанные на ТКФ и </w:t>
      </w:r>
      <w:proofErr w:type="spellStart"/>
      <w:r w:rsidRPr="00343067">
        <w:t>ренанит</w:t>
      </w:r>
      <w:proofErr w:type="spellEnd"/>
      <w:r w:rsidRPr="00343067">
        <w:t>, содержат примесь апатита, что указывает на удаление фосфора в процессе обжига. Для сложных составов (</w:t>
      </w:r>
      <w:proofErr w:type="spellStart"/>
      <w:r w:rsidRPr="00343067">
        <w:t>фосфатосиликатов</w:t>
      </w:r>
      <w:proofErr w:type="spellEnd"/>
      <w:r w:rsidRPr="00343067">
        <w:t xml:space="preserve"> и </w:t>
      </w:r>
      <w:proofErr w:type="spellStart"/>
      <w:r w:rsidRPr="00343067">
        <w:t>фосфатогерманатов</w:t>
      </w:r>
      <w:proofErr w:type="spellEnd"/>
      <w:r w:rsidRPr="00343067">
        <w:t>) были приготовлены серии образцов, отвечающих фазовым равновесиям в системах CaNaPO</w:t>
      </w:r>
      <w:r w:rsidRPr="00343067">
        <w:rPr>
          <w:vertAlign w:val="subscript"/>
        </w:rPr>
        <w:t>4</w:t>
      </w:r>
      <w:r w:rsidRPr="00343067">
        <w:t xml:space="preserve"> – Ca</w:t>
      </w:r>
      <w:r w:rsidRPr="00343067">
        <w:rPr>
          <w:vertAlign w:val="subscript"/>
        </w:rPr>
        <w:t>2</w:t>
      </w:r>
      <w:r w:rsidRPr="00343067">
        <w:t>SiO</w:t>
      </w:r>
      <w:r w:rsidRPr="00343067">
        <w:rPr>
          <w:vertAlign w:val="subscript"/>
        </w:rPr>
        <w:t>4</w:t>
      </w:r>
      <w:r w:rsidRPr="00343067">
        <w:t xml:space="preserve"> и CaNaPO</w:t>
      </w:r>
      <w:r w:rsidRPr="00343067">
        <w:rPr>
          <w:vertAlign w:val="subscript"/>
        </w:rPr>
        <w:t>4</w:t>
      </w:r>
      <w:r w:rsidRPr="00343067">
        <w:t xml:space="preserve"> – Ca</w:t>
      </w:r>
      <w:r w:rsidRPr="00343067">
        <w:rPr>
          <w:vertAlign w:val="subscript"/>
        </w:rPr>
        <w:t>2</w:t>
      </w:r>
      <w:r w:rsidRPr="00343067">
        <w:t>GeO</w:t>
      </w:r>
      <w:r w:rsidRPr="00343067">
        <w:rPr>
          <w:vertAlign w:val="subscript"/>
        </w:rPr>
        <w:t>4</w:t>
      </w:r>
      <w:r w:rsidRPr="00343067">
        <w:t xml:space="preserve">. По данным РФА образцы </w:t>
      </w:r>
      <w:proofErr w:type="spellStart"/>
      <w:r w:rsidRPr="00343067">
        <w:t>фосфатогерманатов</w:t>
      </w:r>
      <w:proofErr w:type="spellEnd"/>
      <w:r w:rsidRPr="00343067">
        <w:t xml:space="preserve"> после обжига при температуре 1000°C представлены фазой </w:t>
      </w:r>
      <w:proofErr w:type="spellStart"/>
      <w:r w:rsidRPr="00343067">
        <w:t>глазерита</w:t>
      </w:r>
      <w:proofErr w:type="spellEnd"/>
      <w:r w:rsidRPr="00343067">
        <w:t xml:space="preserve">. Для части образцов образование целевой фазы происходит и при более низких температурах. В случае </w:t>
      </w:r>
      <w:proofErr w:type="spellStart"/>
      <w:r w:rsidRPr="00343067">
        <w:rPr>
          <w:highlight w:val="white"/>
        </w:rPr>
        <w:t>силикофосфатов</w:t>
      </w:r>
      <w:proofErr w:type="spellEnd"/>
      <w:r w:rsidRPr="00343067">
        <w:rPr>
          <w:highlight w:val="white"/>
        </w:rPr>
        <w:t xml:space="preserve"> продукты обжига представлены низкотемпературной фазой. Для соединений состава Ca</w:t>
      </w:r>
      <w:r w:rsidRPr="00343067">
        <w:rPr>
          <w:highlight w:val="white"/>
          <w:vertAlign w:val="subscript"/>
        </w:rPr>
        <w:t>3</w:t>
      </w:r>
      <w:r w:rsidRPr="00343067">
        <w:rPr>
          <w:highlight w:val="white"/>
        </w:rPr>
        <w:t>NaPO</w:t>
      </w:r>
      <w:r w:rsidRPr="00343067">
        <w:rPr>
          <w:highlight w:val="white"/>
          <w:vertAlign w:val="subscript"/>
        </w:rPr>
        <w:t>4</w:t>
      </w:r>
      <w:r w:rsidRPr="00343067">
        <w:rPr>
          <w:highlight w:val="white"/>
        </w:rPr>
        <w:t>SiO</w:t>
      </w:r>
      <w:r w:rsidRPr="00343067">
        <w:rPr>
          <w:highlight w:val="white"/>
          <w:vertAlign w:val="subscript"/>
        </w:rPr>
        <w:t xml:space="preserve">4 </w:t>
      </w:r>
      <w:r w:rsidRPr="00343067">
        <w:rPr>
          <w:highlight w:val="white"/>
        </w:rPr>
        <w:t>н</w:t>
      </w:r>
      <w:r w:rsidRPr="00343067">
        <w:t>аблюдается примесь оксида кальция, что может говорить либо о незавершенности протекающих в системе реакций, а значит о недостаточно высокой температуре или малой длительности обжига, либо о нарушении стехиометрии в ходе синтеза. Для этих составов показано положительное влияние закалки.</w:t>
      </w:r>
    </w:p>
    <w:p w14:paraId="0B000000" w14:textId="77777777" w:rsidR="00335E6A" w:rsidRPr="005B36C6" w:rsidRDefault="00000000">
      <w:pPr>
        <w:ind w:firstLine="397"/>
        <w:jc w:val="both"/>
        <w:rPr>
          <w:color w:val="000000" w:themeColor="text1"/>
        </w:rPr>
      </w:pPr>
      <w:r w:rsidRPr="005B36C6">
        <w:rPr>
          <w:color w:val="000000" w:themeColor="text1"/>
          <w:highlight w:val="white"/>
        </w:rPr>
        <w:t xml:space="preserve">В данной работе впервые были использован </w:t>
      </w:r>
      <w:proofErr w:type="spellStart"/>
      <w:r w:rsidRPr="005B36C6">
        <w:rPr>
          <w:color w:val="000000" w:themeColor="text1"/>
          <w:highlight w:val="white"/>
        </w:rPr>
        <w:t>триметафосфат</w:t>
      </w:r>
      <w:proofErr w:type="spellEnd"/>
      <w:r w:rsidRPr="005B36C6">
        <w:rPr>
          <w:color w:val="000000" w:themeColor="text1"/>
          <w:highlight w:val="white"/>
        </w:rPr>
        <w:t xml:space="preserve"> натрия для синтеза широкого круга сложных фосфатов золь-гель методом. Примененные в работе фосфорсодержащие прекурсоры перспективны для изготовления ультрадисперсных порошков фосфатов кальция.</w:t>
      </w:r>
    </w:p>
    <w:p w14:paraId="0C000000" w14:textId="77777777" w:rsidR="00335E6A" w:rsidRDefault="00000000">
      <w:pPr>
        <w:ind w:firstLine="397"/>
        <w:jc w:val="both"/>
        <w:rPr>
          <w:i/>
        </w:rPr>
      </w:pPr>
      <w:r>
        <w:rPr>
          <w:i/>
        </w:rPr>
        <w:t>Работа выполнена при финансовой поддержке гранта РНФ 22-19-00219.</w:t>
      </w:r>
    </w:p>
    <w:sectPr w:rsidR="00335E6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E6A"/>
    <w:rsid w:val="00335E6A"/>
    <w:rsid w:val="00343067"/>
    <w:rsid w:val="005B36C6"/>
    <w:rsid w:val="00E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E33E"/>
  <w15:docId w15:val="{41A789A1-3C96-4B73-9063-7ED3EC5B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customStyle="1" w:styleId="16">
    <w:name w:val="Неразрешенное упоминание1"/>
    <w:basedOn w:val="12"/>
    <w:link w:val="aa"/>
    <w:rPr>
      <w:color w:val="605E5C"/>
      <w:shd w:val="clear" w:color="auto" w:fill="E1DFDD"/>
    </w:rPr>
  </w:style>
  <w:style w:type="character" w:styleId="aa">
    <w:name w:val="Unresolved Mention"/>
    <w:basedOn w:val="a0"/>
    <w:link w:val="16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амещающий текст1"/>
    <w:basedOn w:val="12"/>
    <w:link w:val="ab"/>
    <w:rPr>
      <w:color w:val="808080"/>
    </w:rPr>
  </w:style>
  <w:style w:type="character" w:styleId="ab">
    <w:name w:val="Placeholder Text"/>
    <w:basedOn w:val="a0"/>
    <w:link w:val="17"/>
    <w:rPr>
      <w:color w:val="808080"/>
    </w:rPr>
  </w:style>
  <w:style w:type="paragraph" w:styleId="ac">
    <w:name w:val="Subtitle"/>
    <w:basedOn w:val="a"/>
    <w:next w:val="a"/>
    <w:link w:val="ad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d">
    <w:name w:val="Подзаголовок Знак"/>
    <w:basedOn w:val="1"/>
    <w:link w:val="ac"/>
    <w:rPr>
      <w:rFonts w:ascii="Georgia" w:hAnsi="Georgia"/>
      <w:i/>
      <w:color w:val="666666"/>
      <w:sz w:val="48"/>
    </w:r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">
    <w:name w:val="Заголовок Знак"/>
    <w:basedOn w:val="1"/>
    <w:link w:val="ae"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>Krokoz™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2024-03-21T10:48:00Z</dcterms:created>
  <dcterms:modified xsi:type="dcterms:W3CDTF">2024-03-21T10:48:00Z</dcterms:modified>
</cp:coreProperties>
</file>