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9EBB" w14:textId="77777777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Высокочувствительные биосенсоры на основе глюкозодегидрогеназ, включенных в прямой биоэлектрокатализ с использованием наночастиц полиазинов</w:t>
      </w:r>
    </w:p>
    <w:p w14:paraId="1F97421A" w14:textId="77777777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Александрович А.С.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Pr="008B7277">
        <w:rPr>
          <w:b/>
          <w:i/>
          <w:color w:val="000000"/>
        </w:rPr>
        <w:t>Комкова М.А.</w:t>
      </w:r>
      <w:r w:rsidRPr="008B7277">
        <w:rPr>
          <w:b/>
          <w:i/>
          <w:color w:val="000000"/>
          <w:vertAlign w:val="superscript"/>
        </w:rPr>
        <w:t>2</w:t>
      </w:r>
      <w:r w:rsidRPr="008B7277">
        <w:rPr>
          <w:b/>
          <w:i/>
          <w:color w:val="000000"/>
        </w:rPr>
        <w:t>, Карякин А.А.</w:t>
      </w:r>
      <w:r w:rsidRPr="008B7277">
        <w:rPr>
          <w:b/>
          <w:i/>
          <w:color w:val="000000"/>
          <w:vertAlign w:val="superscript"/>
        </w:rPr>
        <w:t>2</w:t>
      </w:r>
    </w:p>
    <w:p w14:paraId="08CFB4F1" w14:textId="77777777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235D3EB2" w14:textId="77777777" w:rsidR="009C5E42" w:rsidRPr="00391C38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МГУ имени М.В. Ломоносова, факультет наук о материалах, Москва, Россия</w:t>
      </w:r>
    </w:p>
    <w:p w14:paraId="4B3AEE88" w14:textId="77777777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8B7277">
        <w:rPr>
          <w:i/>
          <w:color w:val="000000"/>
        </w:rPr>
        <w:t xml:space="preserve"> </w:t>
      </w:r>
      <w:r>
        <w:rPr>
          <w:i/>
          <w:color w:val="000000"/>
        </w:rPr>
        <w:t>МГУ имени М.В. Ломоносова, химический факультет, Москва, Россия</w:t>
      </w:r>
    </w:p>
    <w:p w14:paraId="2EDDB644" w14:textId="77777777" w:rsidR="009C5E42" w:rsidRPr="005B53F3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B7277"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alexandrovichas@my.msu.ru</w:t>
      </w:r>
    </w:p>
    <w:p w14:paraId="0AA626E6" w14:textId="77777777" w:rsidR="009C5E42" w:rsidRPr="005B53F3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Явление прямого биоэлектрокатализа (ПБЭК) заключается в прямом обмене электронами между кофактором фермента и поверхностью электрода. Для обеспечения более эффективного включения фермента в ПБЭК можно объединить два подхода: ориентацию на подложке, несущей фрагменты ко-субстратов и иммобилизацию с проводящими наночастицами </w:t>
      </w:r>
      <w:r w:rsidRPr="008D4160">
        <w:rPr>
          <w:color w:val="000000"/>
        </w:rPr>
        <w:t>для эффективного транспорта электронов</w:t>
      </w:r>
      <w:r>
        <w:rPr>
          <w:color w:val="000000"/>
        </w:rPr>
        <w:t>. В</w:t>
      </w:r>
      <w:r w:rsidRPr="005B53F3">
        <w:rPr>
          <w:color w:val="000000"/>
        </w:rPr>
        <w:t xml:space="preserve"> работе было предложено со-иммобилизовать пирролохинолинхинон-зависимую ГДГ с НЧ поли(метиленового зеленого) (поли(МЗ))</w:t>
      </w:r>
      <w:r>
        <w:rPr>
          <w:color w:val="000000"/>
        </w:rPr>
        <w:t xml:space="preserve"> </w:t>
      </w:r>
      <w:r w:rsidRPr="005B53F3">
        <w:rPr>
          <w:color w:val="000000"/>
        </w:rPr>
        <w:t>[1]</w:t>
      </w:r>
      <w:r>
        <w:rPr>
          <w:color w:val="000000"/>
        </w:rPr>
        <w:t>, содержащего феназиновую группу (фрагмент ко-субстрата) в своей структуре</w:t>
      </w:r>
      <w:r w:rsidRPr="005B53F3">
        <w:rPr>
          <w:color w:val="000000"/>
        </w:rPr>
        <w:t>.</w:t>
      </w:r>
    </w:p>
    <w:p w14:paraId="232EF104" w14:textId="50E25259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B53F3">
        <w:rPr>
          <w:color w:val="000000"/>
        </w:rPr>
        <w:t xml:space="preserve">Предложен </w:t>
      </w:r>
      <w:r w:rsidRPr="002A73F0">
        <w:t>электрохимический синтез</w:t>
      </w:r>
      <w:r>
        <w:t xml:space="preserve"> коллоида электроактивных</w:t>
      </w:r>
      <w:r w:rsidRPr="002A73F0">
        <w:t xml:space="preserve"> наноструктур</w:t>
      </w:r>
      <w:r>
        <w:t xml:space="preserve"> </w:t>
      </w:r>
      <w:r w:rsidRPr="005B53F3">
        <w:rPr>
          <w:color w:val="000000"/>
        </w:rPr>
        <w:t>поли(МЗ)</w:t>
      </w:r>
      <w:r>
        <w:t xml:space="preserve"> с размером 70-150 нм </w:t>
      </w:r>
      <w:r w:rsidRPr="005B53F3">
        <w:rPr>
          <w:color w:val="000000"/>
        </w:rPr>
        <w:t>в ходе длительного циклирования потенциала на поверхности графитового электрода</w:t>
      </w:r>
      <w:r>
        <w:t xml:space="preserve">. </w:t>
      </w:r>
      <w:r>
        <w:rPr>
          <w:color w:val="000000"/>
        </w:rPr>
        <w:t>С</w:t>
      </w:r>
      <w:r w:rsidRPr="005B53F3">
        <w:rPr>
          <w:color w:val="000000"/>
        </w:rPr>
        <w:t xml:space="preserve">оотношение полимерных НЧ </w:t>
      </w:r>
      <w:r>
        <w:rPr>
          <w:color w:val="000000"/>
        </w:rPr>
        <w:t>и</w:t>
      </w:r>
      <w:r w:rsidRPr="005B53F3">
        <w:rPr>
          <w:color w:val="000000"/>
        </w:rPr>
        <w:t xml:space="preserve"> мономер</w:t>
      </w:r>
      <w:r>
        <w:rPr>
          <w:color w:val="000000"/>
        </w:rPr>
        <w:t>а</w:t>
      </w:r>
      <w:r w:rsidRPr="005B53F3">
        <w:rPr>
          <w:color w:val="000000"/>
        </w:rPr>
        <w:t xml:space="preserve"> </w:t>
      </w:r>
      <w:r>
        <w:rPr>
          <w:color w:val="000000"/>
        </w:rPr>
        <w:t xml:space="preserve">в коллоиде </w:t>
      </w:r>
      <w:r w:rsidRPr="005B53F3">
        <w:rPr>
          <w:color w:val="000000"/>
        </w:rPr>
        <w:t>регулир</w:t>
      </w:r>
      <w:r w:rsidR="00DF18D9">
        <w:rPr>
          <w:color w:val="000000"/>
        </w:rPr>
        <w:t>уется</w:t>
      </w:r>
      <w:r w:rsidRPr="005B53F3">
        <w:rPr>
          <w:color w:val="000000"/>
        </w:rPr>
        <w:t xml:space="preserve"> </w:t>
      </w:r>
      <w:r>
        <w:rPr>
          <w:color w:val="000000"/>
        </w:rPr>
        <w:t>числом</w:t>
      </w:r>
      <w:r w:rsidRPr="005B53F3">
        <w:rPr>
          <w:color w:val="000000"/>
        </w:rPr>
        <w:t xml:space="preserve"> циклов полимеризации</w:t>
      </w:r>
      <w:r>
        <w:t xml:space="preserve">. Коллоид наноструктур наносили на поверхности электрода капельным методом, а фермент </w:t>
      </w:r>
      <w:r w:rsidR="00DF18D9">
        <w:t>ГДГ</w:t>
      </w:r>
      <w:r>
        <w:t xml:space="preserve"> иммобилизовали на модифицированных электродах путем адсорбции. </w:t>
      </w:r>
    </w:p>
    <w:p w14:paraId="5AE0E76A" w14:textId="0CDD17A0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Для биосенсоров на основе сформированных интерфейсов </w:t>
      </w:r>
      <w:r>
        <w:rPr>
          <w:color w:val="000000"/>
        </w:rPr>
        <w:t>поли(МЗ)ǀГДГ</w:t>
      </w:r>
      <w:r>
        <w:t xml:space="preserve"> исследована зависимость предельного электрокаталитического тока окисления глюкозы от потенциала.</w:t>
      </w:r>
      <w:r>
        <w:rPr>
          <w:color w:val="000000"/>
        </w:rPr>
        <w:t xml:space="preserve"> </w:t>
      </w:r>
      <w:r w:rsidRPr="005B53F3">
        <w:rPr>
          <w:color w:val="000000"/>
        </w:rPr>
        <w:t xml:space="preserve">Потенциалы наблюдаемых полярографических полуволн окисления глюкозы </w:t>
      </w:r>
      <w:r w:rsidR="00DF18D9">
        <w:rPr>
          <w:color w:val="000000"/>
        </w:rPr>
        <w:t>ГДГ</w:t>
      </w:r>
      <w:r>
        <w:rPr>
          <w:color w:val="000000"/>
        </w:rPr>
        <w:t xml:space="preserve"> </w:t>
      </w:r>
      <w:r w:rsidRPr="005B53F3">
        <w:rPr>
          <w:color w:val="000000"/>
        </w:rPr>
        <w:t xml:space="preserve">(-60 и 130 мВ), адсорбированной на НЧ поли(МЗ), соответствуют последовательным редокс-превращениям пирролохинолинхинона и совпадают с потенциалами, полученными для ГДГ, включенной в ПБЭК посредством углеродных нанотрубок. Более выраженная полуволна в катодной области говорит о преобладании ПБЭК по отношению к медиаторному переносу электрона. </w:t>
      </w:r>
    </w:p>
    <w:p w14:paraId="683F69C8" w14:textId="299D6CF9" w:rsidR="009C5E42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Аналитические характеристики разработанных биосенсоров изучены в режиме хроноамперометрии в присутствии и отсутствие свободно диффундирующего медиатора феназина метосульфата (ФМС). При использовании для</w:t>
      </w:r>
      <w:r w:rsidR="00DF18D9">
        <w:rPr>
          <w:color w:val="000000"/>
        </w:rPr>
        <w:t xml:space="preserve"> создания</w:t>
      </w:r>
      <w:r>
        <w:rPr>
          <w:color w:val="000000"/>
        </w:rPr>
        <w:t xml:space="preserve"> сенсорного покрытия коллоида оптимального состава достигнуты предельные биоэлектрокаталитические токи до 120 мкА·см</w:t>
      </w:r>
      <w:r w:rsidRPr="000A5AC2">
        <w:rPr>
          <w:color w:val="000000"/>
          <w:vertAlign w:val="superscript"/>
        </w:rPr>
        <w:t>-2</w:t>
      </w:r>
      <w:r>
        <w:rPr>
          <w:color w:val="000000"/>
        </w:rPr>
        <w:t>, в то время как для пленки полимера – 70 мкА·см</w:t>
      </w:r>
      <w:r w:rsidRPr="000A5AC2">
        <w:rPr>
          <w:color w:val="000000"/>
          <w:vertAlign w:val="superscript"/>
        </w:rPr>
        <w:t>-2</w:t>
      </w:r>
      <w:r>
        <w:rPr>
          <w:color w:val="000000"/>
        </w:rPr>
        <w:t xml:space="preserve">. </w:t>
      </w:r>
      <w:r w:rsidRPr="005B53F3">
        <w:rPr>
          <w:color w:val="000000"/>
        </w:rPr>
        <w:t>Отношение медиаторного к безмедиаторному току окисления глюкозы достигают значений 2-2.5, что в 2.5 раза меньше, чем для пленок поли(МЗ)</w:t>
      </w:r>
      <w:r>
        <w:rPr>
          <w:color w:val="000000"/>
        </w:rPr>
        <w:t xml:space="preserve"> и в </w:t>
      </w:r>
      <w:r>
        <w:rPr>
          <w:color w:val="000000"/>
        </w:rPr>
        <w:t>20 раз меньше</w:t>
      </w:r>
      <w:r>
        <w:rPr>
          <w:color w:val="000000"/>
        </w:rPr>
        <w:t>, чем для наиболее чувствительных сенсоров на основе углеродных наноматериалов</w:t>
      </w:r>
      <w:r w:rsidRPr="005B53F3">
        <w:rPr>
          <w:color w:val="000000"/>
        </w:rPr>
        <w:t>. Такие низкие значения указывают на высокую эффективность безмедиаторного электрокатализа.</w:t>
      </w:r>
      <w:r w:rsidRPr="00E668C7">
        <w:rPr>
          <w:color w:val="000000"/>
        </w:rPr>
        <w:t xml:space="preserve"> </w:t>
      </w:r>
    </w:p>
    <w:p w14:paraId="7958D30F" w14:textId="50E02B65" w:rsidR="009C5E42" w:rsidRPr="005B53F3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Высокая чувст</w:t>
      </w:r>
      <w:r>
        <w:rPr>
          <w:color w:val="000000"/>
        </w:rPr>
        <w:t>в</w:t>
      </w:r>
      <w:r>
        <w:rPr>
          <w:color w:val="000000"/>
        </w:rPr>
        <w:t xml:space="preserve">ительность и низкий предел обнаружения глюкозы (до 1 мкМ) делает возможным использование таких биосенсоров для анализа содержания глюкозы в поте (от 20 до 400 мкМ). </w:t>
      </w:r>
      <w:r w:rsidRPr="005B53F3">
        <w:rPr>
          <w:color w:val="000000"/>
        </w:rPr>
        <w:t xml:space="preserve">Биосенсоры были адаптированы для работы в микрокапиллярной ячейке в режиме генерации мощности. </w:t>
      </w:r>
      <w:r>
        <w:rPr>
          <w:color w:val="000000"/>
        </w:rPr>
        <w:t>Измерены</w:t>
      </w:r>
      <w:r w:rsidRPr="005B53F3">
        <w:rPr>
          <w:color w:val="000000"/>
        </w:rPr>
        <w:t xml:space="preserve"> концентрац</w:t>
      </w:r>
      <w:r w:rsidR="00DF18D9">
        <w:rPr>
          <w:color w:val="000000"/>
        </w:rPr>
        <w:t>ии</w:t>
      </w:r>
      <w:r w:rsidRPr="005B53F3">
        <w:rPr>
          <w:color w:val="000000"/>
        </w:rPr>
        <w:t xml:space="preserve"> глюкозы в неразбавленном поте 5 добровольцев. Относительные изменения концентраций глюкозы, установленн</w:t>
      </w:r>
      <w:r>
        <w:rPr>
          <w:color w:val="000000"/>
        </w:rPr>
        <w:t>ые</w:t>
      </w:r>
      <w:r w:rsidRPr="005B53F3">
        <w:rPr>
          <w:color w:val="000000"/>
        </w:rPr>
        <w:t xml:space="preserve"> с помощью разработанн</w:t>
      </w:r>
      <w:r>
        <w:rPr>
          <w:color w:val="000000"/>
        </w:rPr>
        <w:t>ых</w:t>
      </w:r>
      <w:r w:rsidRPr="005B53F3">
        <w:rPr>
          <w:color w:val="000000"/>
        </w:rPr>
        <w:t xml:space="preserve"> биосенсор</w:t>
      </w:r>
      <w:r w:rsidR="00DF18D9">
        <w:rPr>
          <w:color w:val="000000"/>
        </w:rPr>
        <w:t>ов</w:t>
      </w:r>
      <w:r w:rsidRPr="005B53F3">
        <w:rPr>
          <w:color w:val="000000"/>
        </w:rPr>
        <w:t xml:space="preserve">, коррелируют с референсными значениями, </w:t>
      </w:r>
      <w:r>
        <w:rPr>
          <w:color w:val="000000"/>
        </w:rPr>
        <w:t>измеренными с помощью биосенсоров первого поколения с использованием глюкозооксидазы. Это делает перспективным применение разработанных</w:t>
      </w:r>
      <w:r w:rsidRPr="005B53F3">
        <w:rPr>
          <w:color w:val="000000"/>
        </w:rPr>
        <w:t xml:space="preserve"> </w:t>
      </w:r>
      <w:r>
        <w:rPr>
          <w:color w:val="000000"/>
        </w:rPr>
        <w:t>био</w:t>
      </w:r>
      <w:r w:rsidRPr="005B53F3">
        <w:rPr>
          <w:color w:val="000000"/>
        </w:rPr>
        <w:t>сенсоров для неинвазивной диагностики диабета по анализу пота.</w:t>
      </w:r>
    </w:p>
    <w:p w14:paraId="5FA5D1BF" w14:textId="77777777" w:rsidR="009C5E42" w:rsidRPr="005B53F3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B53F3">
        <w:rPr>
          <w:i/>
          <w:iCs/>
          <w:color w:val="000000"/>
        </w:rPr>
        <w:t>Работа выполнена при финансовой поддержке гранта РНФ № 21-73-10123.</w:t>
      </w:r>
    </w:p>
    <w:p w14:paraId="776C75F5" w14:textId="77777777" w:rsidR="009C5E42" w:rsidRPr="005B53F3" w:rsidRDefault="009C5E42" w:rsidP="009C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5B53F3">
        <w:rPr>
          <w:b/>
          <w:bCs/>
          <w:color w:val="000000"/>
        </w:rPr>
        <w:t>Литература</w:t>
      </w:r>
    </w:p>
    <w:p w14:paraId="3972C0FB" w14:textId="58D812CC" w:rsidR="00AD20E5" w:rsidRPr="009C5E42" w:rsidRDefault="009C5E42" w:rsidP="009C5E4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D20E5">
        <w:rPr>
          <w:color w:val="000000"/>
          <w:lang w:val="en-US"/>
        </w:rPr>
        <w:t xml:space="preserve">Komkova M.A., Alexandrovich A.S., Karyakin A.A. Polyazine nanoparticles as anchors of </w:t>
      </w:r>
      <w:r>
        <w:rPr>
          <w:color w:val="000000"/>
          <w:lang w:val="en-US"/>
        </w:rPr>
        <w:t xml:space="preserve">PQQ </w:t>
      </w:r>
      <w:r w:rsidRPr="00AD20E5">
        <w:rPr>
          <w:color w:val="000000"/>
          <w:lang w:val="en-US"/>
        </w:rPr>
        <w:t>glucose dehydrogenase for its most efficient bioelectrocatalysis // Talanta.</w:t>
      </w:r>
      <w:r>
        <w:rPr>
          <w:color w:val="000000"/>
          <w:lang w:val="en-US"/>
        </w:rPr>
        <w:t xml:space="preserve"> </w:t>
      </w:r>
      <w:r w:rsidRPr="00AD20E5">
        <w:rPr>
          <w:color w:val="000000"/>
          <w:lang w:val="en-US"/>
        </w:rPr>
        <w:t>2024. P. 125219.</w:t>
      </w:r>
    </w:p>
    <w:sectPr w:rsidR="00AD20E5" w:rsidRPr="009C5E42" w:rsidSect="00634C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23330"/>
    <w:multiLevelType w:val="hybridMultilevel"/>
    <w:tmpl w:val="C42A27D2"/>
    <w:lvl w:ilvl="0" w:tplc="A77267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159024E"/>
    <w:multiLevelType w:val="hybridMultilevel"/>
    <w:tmpl w:val="08AADC3E"/>
    <w:lvl w:ilvl="0" w:tplc="B96C069C">
      <w:start w:val="1"/>
      <w:numFmt w:val="decimal"/>
      <w:lvlText w:val="%1."/>
      <w:lvlJc w:val="left"/>
      <w:pPr>
        <w:ind w:left="-4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" w:hanging="360"/>
      </w:pPr>
    </w:lvl>
    <w:lvl w:ilvl="2" w:tplc="0419001B" w:tentative="1">
      <w:start w:val="1"/>
      <w:numFmt w:val="lowerRoman"/>
      <w:lvlText w:val="%3."/>
      <w:lvlJc w:val="right"/>
      <w:pPr>
        <w:ind w:left="1160" w:hanging="180"/>
      </w:pPr>
    </w:lvl>
    <w:lvl w:ilvl="3" w:tplc="0419000F" w:tentative="1">
      <w:start w:val="1"/>
      <w:numFmt w:val="decimal"/>
      <w:lvlText w:val="%4."/>
      <w:lvlJc w:val="left"/>
      <w:pPr>
        <w:ind w:left="1880" w:hanging="360"/>
      </w:pPr>
    </w:lvl>
    <w:lvl w:ilvl="4" w:tplc="04190019" w:tentative="1">
      <w:start w:val="1"/>
      <w:numFmt w:val="lowerLetter"/>
      <w:lvlText w:val="%5."/>
      <w:lvlJc w:val="left"/>
      <w:pPr>
        <w:ind w:left="2600" w:hanging="360"/>
      </w:pPr>
    </w:lvl>
    <w:lvl w:ilvl="5" w:tplc="0419001B" w:tentative="1">
      <w:start w:val="1"/>
      <w:numFmt w:val="lowerRoman"/>
      <w:lvlText w:val="%6."/>
      <w:lvlJc w:val="right"/>
      <w:pPr>
        <w:ind w:left="3320" w:hanging="180"/>
      </w:pPr>
    </w:lvl>
    <w:lvl w:ilvl="6" w:tplc="0419000F" w:tentative="1">
      <w:start w:val="1"/>
      <w:numFmt w:val="decimal"/>
      <w:lvlText w:val="%7."/>
      <w:lvlJc w:val="left"/>
      <w:pPr>
        <w:ind w:left="4040" w:hanging="360"/>
      </w:pPr>
    </w:lvl>
    <w:lvl w:ilvl="7" w:tplc="04190019" w:tentative="1">
      <w:start w:val="1"/>
      <w:numFmt w:val="lowerLetter"/>
      <w:lvlText w:val="%8."/>
      <w:lvlJc w:val="left"/>
      <w:pPr>
        <w:ind w:left="4760" w:hanging="360"/>
      </w:pPr>
    </w:lvl>
    <w:lvl w:ilvl="8" w:tplc="0419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608194842">
    <w:abstractNumId w:val="1"/>
  </w:num>
  <w:num w:numId="4" w16cid:durableId="199610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5AC2"/>
    <w:rsid w:val="00101A1C"/>
    <w:rsid w:val="00103657"/>
    <w:rsid w:val="00106375"/>
    <w:rsid w:val="00116478"/>
    <w:rsid w:val="001251F0"/>
    <w:rsid w:val="00130241"/>
    <w:rsid w:val="001E61C2"/>
    <w:rsid w:val="001F0493"/>
    <w:rsid w:val="002264EE"/>
    <w:rsid w:val="0023307C"/>
    <w:rsid w:val="002B6BDA"/>
    <w:rsid w:val="0031361E"/>
    <w:rsid w:val="00391C38"/>
    <w:rsid w:val="003B76D6"/>
    <w:rsid w:val="00413B55"/>
    <w:rsid w:val="004A26A3"/>
    <w:rsid w:val="004F0EDF"/>
    <w:rsid w:val="00522BF1"/>
    <w:rsid w:val="00590166"/>
    <w:rsid w:val="005B53F3"/>
    <w:rsid w:val="005D022B"/>
    <w:rsid w:val="005E3063"/>
    <w:rsid w:val="005E5BE9"/>
    <w:rsid w:val="00634C18"/>
    <w:rsid w:val="0069427D"/>
    <w:rsid w:val="006A277A"/>
    <w:rsid w:val="006F7A19"/>
    <w:rsid w:val="007213E1"/>
    <w:rsid w:val="00775389"/>
    <w:rsid w:val="00797838"/>
    <w:rsid w:val="007C36D8"/>
    <w:rsid w:val="007F2744"/>
    <w:rsid w:val="00845FCD"/>
    <w:rsid w:val="008931BE"/>
    <w:rsid w:val="008A6777"/>
    <w:rsid w:val="008B7277"/>
    <w:rsid w:val="008C67E3"/>
    <w:rsid w:val="008E6910"/>
    <w:rsid w:val="00921D45"/>
    <w:rsid w:val="009746DF"/>
    <w:rsid w:val="009A66DB"/>
    <w:rsid w:val="009B2F80"/>
    <w:rsid w:val="009B3300"/>
    <w:rsid w:val="009C5E42"/>
    <w:rsid w:val="009E26C6"/>
    <w:rsid w:val="009F24B7"/>
    <w:rsid w:val="009F3380"/>
    <w:rsid w:val="00A02163"/>
    <w:rsid w:val="00A314FE"/>
    <w:rsid w:val="00AD20E5"/>
    <w:rsid w:val="00BF36F8"/>
    <w:rsid w:val="00BF4622"/>
    <w:rsid w:val="00CD00B1"/>
    <w:rsid w:val="00D22306"/>
    <w:rsid w:val="00D303B9"/>
    <w:rsid w:val="00D32B3E"/>
    <w:rsid w:val="00D42542"/>
    <w:rsid w:val="00D8121C"/>
    <w:rsid w:val="00DF18D9"/>
    <w:rsid w:val="00E22189"/>
    <w:rsid w:val="00E511EE"/>
    <w:rsid w:val="00E74069"/>
    <w:rsid w:val="00EB1F49"/>
    <w:rsid w:val="00F865B3"/>
    <w:rsid w:val="00FA025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7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9E26C6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E26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E26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88AF48-0DA8-4D70-BCE5-97109562D73C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fc382fe5-8d83-4d1c-a941-0c1f067a90bc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&quot;,&quot;citationItems&quot;:[{&quot;id&quot;:&quot;7905bd33-6f5a-3621-8b8c-085babf5393a&quot;,&quot;itemData&quot;:{&quot;type&quot;:&quot;article-journal&quot;,&quot;id&quot;:&quot;7905bd33-6f5a-3621-8b8c-085babf5393a&quot;,&quot;title&quot;:&quot;Polyazine nanoparticles as anchors of PQQ glucose dehydrogenase for its most efficient bioelectrocatalysis&quot;,&quot;author&quot;:[{&quot;family&quot;:&quot;Komkova&quot;,&quot;given&quot;:&quot;Maria A.&quot;,&quot;parse-names&quot;:false,&quot;dropping-particle&quot;:&quot;&quot;,&quot;non-dropping-particle&quot;:&quot;&quot;},{&quot;family&quot;:&quot;Alexandrovich&quot;,&quot;given&quot;:&quot;Anna S.&quot;,&quot;parse-names&quot;:false,&quot;dropping-particle&quot;:&quot;&quot;,&quot;non-dropping-particle&quot;:&quot;&quot;},{&quot;family&quot;:&quot;Karyakin&quot;,&quot;given&quot;:&quot;Arkady A.&quot;,&quot;parse-names&quot;:false,&quot;dropping-particle&quot;:&quot;&quot;,&quot;non-dropping-particle&quot;:&quot;&quot;}],&quot;container-title&quot;:&quot;Talanta&quot;,&quot;container-title-short&quot;:&quot;Talanta&quot;,&quot;DOI&quot;:&quot;10.1016/j.talanta.2023.125219&quot;,&quot;ISSN&quot;:&quot;00399140&quot;,&quot;URL&quot;:&quot;https://linkinghub.elsevier.com/retrieve/pii/S0039914023009700&quot;,&quot;issued&quot;:{&quot;date-parts&quot;:[[2024,1]]},&quot;page&quot;:&quot;125219&quot;,&quot;volume&quot;:&quot;267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Alexandrovich</cp:lastModifiedBy>
  <cp:revision>21</cp:revision>
  <dcterms:created xsi:type="dcterms:W3CDTF">2022-11-07T09:18:00Z</dcterms:created>
  <dcterms:modified xsi:type="dcterms:W3CDTF">2024-02-16T17:32:00Z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