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77CE" w14:textId="3F4DE179" w:rsidR="007E5DE4" w:rsidRDefault="007E5DE4" w:rsidP="007E5DE4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E5DE4">
        <w:rPr>
          <w:rFonts w:eastAsia="Times New Roman"/>
          <w:b/>
          <w:bCs/>
          <w:sz w:val="24"/>
          <w:szCs w:val="24"/>
          <w:lang w:eastAsia="ru-RU"/>
        </w:rPr>
        <w:t xml:space="preserve">Реализация алгоритма N-модальной проекции на латентные структуры для </w:t>
      </w:r>
      <w:r w:rsidR="001E5FFC">
        <w:rPr>
          <w:rFonts w:eastAsia="Times New Roman"/>
          <w:b/>
          <w:bCs/>
          <w:sz w:val="24"/>
          <w:szCs w:val="24"/>
          <w:lang w:eastAsia="ru-RU"/>
        </w:rPr>
        <w:t>определения растворенного органического вещества флуоресцентным методом</w:t>
      </w:r>
      <w:r w:rsidRPr="007E5DE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14:paraId="15B865AF" w14:textId="76434AE7" w:rsidR="007E5DE4" w:rsidRPr="007A67BF" w:rsidRDefault="007E5DE4" w:rsidP="007E5DE4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i/>
          <w:iCs/>
          <w:sz w:val="24"/>
          <w:szCs w:val="24"/>
          <w:lang w:eastAsia="ru-RU"/>
        </w:rPr>
      </w:pPr>
      <w:r w:rsidRPr="007A67BF">
        <w:rPr>
          <w:rFonts w:eastAsia="Times New Roman"/>
          <w:b/>
          <w:i/>
          <w:iCs/>
          <w:sz w:val="24"/>
          <w:szCs w:val="24"/>
          <w:lang w:eastAsia="ru-RU"/>
        </w:rPr>
        <w:t>Ферубко А.О., Крылов И.Н.</w:t>
      </w:r>
    </w:p>
    <w:p w14:paraId="5E21AC0F" w14:textId="5BBF17D0" w:rsidR="007E5DE4" w:rsidRPr="00464BE5" w:rsidRDefault="007E5DE4" w:rsidP="007E5DE4">
      <w:pPr>
        <w:shd w:val="clear" w:color="auto" w:fill="FFFFFF"/>
        <w:spacing w:after="0" w:line="240" w:lineRule="auto"/>
        <w:ind w:firstLine="0"/>
        <w:jc w:val="center"/>
        <w:rPr>
          <w:i/>
          <w:sz w:val="24"/>
        </w:rPr>
      </w:pPr>
      <w:r w:rsidRPr="007A67BF">
        <w:rPr>
          <w:rFonts w:eastAsia="Times New Roman"/>
          <w:i/>
          <w:iCs/>
          <w:sz w:val="24"/>
          <w:szCs w:val="24"/>
          <w:lang w:eastAsia="ru-RU"/>
        </w:rPr>
        <w:t xml:space="preserve">Студент, </w:t>
      </w:r>
      <w:r>
        <w:rPr>
          <w:rFonts w:eastAsia="Times New Roman"/>
          <w:i/>
          <w:iCs/>
          <w:sz w:val="24"/>
          <w:szCs w:val="24"/>
          <w:lang w:eastAsia="ru-RU"/>
        </w:rPr>
        <w:t>6</w:t>
      </w:r>
      <w:r w:rsidRPr="007A67BF">
        <w:rPr>
          <w:rFonts w:eastAsia="Times New Roman"/>
          <w:i/>
          <w:iCs/>
          <w:sz w:val="24"/>
          <w:szCs w:val="24"/>
          <w:lang w:eastAsia="ru-RU"/>
        </w:rPr>
        <w:t xml:space="preserve"> курс специалитета</w:t>
      </w:r>
    </w:p>
    <w:p w14:paraId="4CD2B236" w14:textId="77777777" w:rsidR="007E5DE4" w:rsidRPr="007A67BF" w:rsidRDefault="007E5DE4" w:rsidP="007E5DE4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7A67BF">
        <w:rPr>
          <w:rFonts w:eastAsia="Times New Roman"/>
          <w:i/>
          <w:iCs/>
          <w:sz w:val="24"/>
          <w:szCs w:val="24"/>
          <w:lang w:eastAsia="ru-RU"/>
        </w:rPr>
        <w:t xml:space="preserve">Московский государственный университет имени М.В. Ломоносова, Москва, Россия </w:t>
      </w:r>
    </w:p>
    <w:p w14:paraId="4A0B97A2" w14:textId="77777777" w:rsidR="007E5DE4" w:rsidRPr="000B564E" w:rsidRDefault="007E5DE4" w:rsidP="007E5DE4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B564E">
        <w:rPr>
          <w:rFonts w:eastAsia="Times New Roman"/>
          <w:i/>
          <w:iCs/>
          <w:sz w:val="24"/>
          <w:szCs w:val="24"/>
          <w:lang w:eastAsia="ru-RU"/>
        </w:rPr>
        <w:t>E-mail:</w:t>
      </w:r>
      <w:r>
        <w:rPr>
          <w:rFonts w:eastAsia="Times New Roman"/>
          <w:i/>
          <w:iCs/>
          <w:sz w:val="24"/>
          <w:szCs w:val="24"/>
          <w:lang w:val="en-US" w:eastAsia="ru-RU"/>
        </w:rPr>
        <w:t>ferubko</w:t>
      </w:r>
      <w:r w:rsidRPr="000B564E">
        <w:rPr>
          <w:rFonts w:eastAsia="Times New Roman"/>
          <w:i/>
          <w:iCs/>
          <w:sz w:val="24"/>
          <w:szCs w:val="24"/>
          <w:lang w:eastAsia="ru-RU"/>
        </w:rPr>
        <w:t>1999@</w:t>
      </w:r>
      <w:r>
        <w:rPr>
          <w:rFonts w:eastAsia="Times New Roman"/>
          <w:i/>
          <w:iCs/>
          <w:sz w:val="24"/>
          <w:szCs w:val="24"/>
          <w:lang w:val="en-US" w:eastAsia="ru-RU"/>
        </w:rPr>
        <w:t>yandex</w:t>
      </w:r>
      <w:r w:rsidRPr="000B564E">
        <w:rPr>
          <w:rFonts w:eastAsia="Times New Roman"/>
          <w:i/>
          <w:iCs/>
          <w:sz w:val="24"/>
          <w:szCs w:val="24"/>
          <w:lang w:eastAsia="ru-RU"/>
        </w:rPr>
        <w:t>.</w:t>
      </w:r>
      <w:r>
        <w:rPr>
          <w:rFonts w:eastAsia="Times New Roman"/>
          <w:i/>
          <w:iCs/>
          <w:sz w:val="24"/>
          <w:szCs w:val="24"/>
          <w:lang w:val="en-US" w:eastAsia="ru-RU"/>
        </w:rPr>
        <w:t>ru</w:t>
      </w:r>
      <w:r w:rsidRPr="000B564E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p w14:paraId="4E0C51D7" w14:textId="1C91CD51" w:rsidR="00A41D82" w:rsidRDefault="00CE0918" w:rsidP="007D548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E0918">
        <w:rPr>
          <w:rFonts w:eastAsia="Times New Roman"/>
          <w:sz w:val="24"/>
          <w:szCs w:val="24"/>
          <w:lang w:eastAsia="ru-RU"/>
        </w:rPr>
        <w:t>Нахождение в Мировом океане</w:t>
      </w:r>
      <w:r>
        <w:rPr>
          <w:rFonts w:eastAsia="Times New Roman"/>
          <w:sz w:val="24"/>
          <w:szCs w:val="24"/>
          <w:lang w:eastAsia="ru-RU"/>
        </w:rPr>
        <w:t xml:space="preserve"> органического углерода в количестве порядка 10</w:t>
      </w:r>
      <w:r w:rsidRPr="00CE369A">
        <w:rPr>
          <w:rFonts w:eastAsia="Times New Roman"/>
          <w:sz w:val="24"/>
          <w:szCs w:val="24"/>
          <w:vertAlign w:val="superscript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тонн играет важную роль в глобальном биогеохимическом цикле углерода, оказывающем значительное влияние на климат и разнообразие живых организмов. В связи с этим изучение данного цикла является актуальной и важной научной задачей. </w:t>
      </w:r>
      <w:r w:rsidR="00333BBD">
        <w:rPr>
          <w:rFonts w:eastAsia="Times New Roman"/>
          <w:sz w:val="24"/>
          <w:szCs w:val="24"/>
          <w:lang w:eastAsia="ru-RU"/>
        </w:rPr>
        <w:t xml:space="preserve">Существенная часть органического углерода в водах представлена </w:t>
      </w:r>
      <w:r w:rsidR="001E5FFC">
        <w:rPr>
          <w:rFonts w:eastAsia="Times New Roman"/>
          <w:sz w:val="24"/>
          <w:szCs w:val="24"/>
          <w:lang w:eastAsia="ru-RU"/>
        </w:rPr>
        <w:t>окрашенным растворенным органическим веществом</w:t>
      </w:r>
      <w:r w:rsidR="00333BBD">
        <w:rPr>
          <w:rFonts w:eastAsia="Times New Roman"/>
          <w:sz w:val="24"/>
          <w:szCs w:val="24"/>
          <w:lang w:eastAsia="ru-RU"/>
        </w:rPr>
        <w:t xml:space="preserve"> (</w:t>
      </w:r>
      <w:r w:rsidR="001E5FFC">
        <w:rPr>
          <w:rFonts w:eastAsia="Times New Roman"/>
          <w:sz w:val="24"/>
          <w:szCs w:val="24"/>
          <w:lang w:eastAsia="ru-RU"/>
        </w:rPr>
        <w:t>РОВ</w:t>
      </w:r>
      <w:r w:rsidR="00333BBD">
        <w:rPr>
          <w:rFonts w:eastAsia="Times New Roman"/>
          <w:sz w:val="24"/>
          <w:szCs w:val="24"/>
          <w:lang w:eastAsia="ru-RU"/>
        </w:rPr>
        <w:t xml:space="preserve">). </w:t>
      </w:r>
      <w:r w:rsidR="001E5FFC">
        <w:rPr>
          <w:rFonts w:eastAsia="Times New Roman"/>
          <w:sz w:val="24"/>
          <w:szCs w:val="24"/>
          <w:lang w:eastAsia="ru-RU"/>
        </w:rPr>
        <w:t>Поскольку с</w:t>
      </w:r>
      <w:r w:rsidR="008B3F1D">
        <w:rPr>
          <w:rFonts w:eastAsia="Times New Roman"/>
          <w:sz w:val="24"/>
          <w:szCs w:val="24"/>
          <w:lang w:eastAsia="ru-RU"/>
        </w:rPr>
        <w:t xml:space="preserve">одержание </w:t>
      </w:r>
      <w:r w:rsidR="001E5FFC">
        <w:rPr>
          <w:rFonts w:eastAsia="Times New Roman"/>
          <w:sz w:val="24"/>
          <w:szCs w:val="24"/>
          <w:lang w:eastAsia="ru-RU"/>
        </w:rPr>
        <w:t xml:space="preserve">РОВ </w:t>
      </w:r>
      <w:r w:rsidR="008B3F1D">
        <w:rPr>
          <w:rFonts w:eastAsia="Times New Roman"/>
          <w:sz w:val="24"/>
          <w:szCs w:val="24"/>
          <w:lang w:eastAsia="ru-RU"/>
        </w:rPr>
        <w:t xml:space="preserve">в </w:t>
      </w:r>
      <w:r w:rsidR="001E5FFC">
        <w:rPr>
          <w:rFonts w:eastAsia="Times New Roman"/>
          <w:sz w:val="24"/>
          <w:szCs w:val="24"/>
          <w:lang w:eastAsia="ru-RU"/>
        </w:rPr>
        <w:t xml:space="preserve">морской </w:t>
      </w:r>
      <w:r w:rsidR="008B3F1D">
        <w:rPr>
          <w:rFonts w:eastAsia="Times New Roman"/>
          <w:sz w:val="24"/>
          <w:szCs w:val="24"/>
          <w:lang w:eastAsia="ru-RU"/>
        </w:rPr>
        <w:t>воде невелико, применение флуоресцентных методов представляется наиболее перспективным</w:t>
      </w:r>
      <w:r w:rsidR="001E5FFC">
        <w:rPr>
          <w:rFonts w:eastAsia="Times New Roman"/>
          <w:sz w:val="24"/>
          <w:szCs w:val="24"/>
          <w:lang w:eastAsia="ru-RU"/>
        </w:rPr>
        <w:t xml:space="preserve"> для их прямого определения</w:t>
      </w:r>
      <w:r w:rsidR="008B3F1D">
        <w:rPr>
          <w:rFonts w:eastAsia="Times New Roman"/>
          <w:sz w:val="24"/>
          <w:szCs w:val="24"/>
          <w:lang w:eastAsia="ru-RU"/>
        </w:rPr>
        <w:t xml:space="preserve">. </w:t>
      </w:r>
      <w:r w:rsidR="001E5FFC">
        <w:rPr>
          <w:rFonts w:eastAsia="Times New Roman"/>
          <w:sz w:val="24"/>
          <w:szCs w:val="24"/>
          <w:lang w:eastAsia="ru-RU"/>
        </w:rPr>
        <w:t>При этом использование флуоресценции возбуждение-испускание позволяет у</w:t>
      </w:r>
      <w:r w:rsidR="005A3BE1">
        <w:rPr>
          <w:rFonts w:eastAsia="Times New Roman"/>
          <w:sz w:val="24"/>
          <w:szCs w:val="24"/>
          <w:lang w:eastAsia="ru-RU"/>
        </w:rPr>
        <w:t>читыва</w:t>
      </w:r>
      <w:r w:rsidR="001E5FFC">
        <w:rPr>
          <w:rFonts w:eastAsia="Times New Roman"/>
          <w:sz w:val="24"/>
          <w:szCs w:val="24"/>
          <w:lang w:eastAsia="ru-RU"/>
        </w:rPr>
        <w:t>ть</w:t>
      </w:r>
      <w:r w:rsidR="005A3BE1">
        <w:rPr>
          <w:rFonts w:eastAsia="Times New Roman"/>
          <w:sz w:val="24"/>
          <w:szCs w:val="24"/>
          <w:lang w:eastAsia="ru-RU"/>
        </w:rPr>
        <w:t xml:space="preserve"> разнообразие </w:t>
      </w:r>
      <w:r w:rsidR="001E5FFC">
        <w:rPr>
          <w:rFonts w:eastAsia="Times New Roman"/>
          <w:sz w:val="24"/>
          <w:szCs w:val="24"/>
          <w:lang w:eastAsia="ru-RU"/>
        </w:rPr>
        <w:t>РОВ</w:t>
      </w:r>
      <w:r w:rsidR="005A3BE1">
        <w:rPr>
          <w:rFonts w:eastAsia="Times New Roman"/>
          <w:sz w:val="24"/>
          <w:szCs w:val="24"/>
          <w:lang w:eastAsia="ru-RU"/>
        </w:rPr>
        <w:t xml:space="preserve">, </w:t>
      </w:r>
      <w:r w:rsidR="001E5FFC">
        <w:rPr>
          <w:rFonts w:eastAsia="Times New Roman"/>
          <w:sz w:val="24"/>
          <w:szCs w:val="24"/>
          <w:lang w:eastAsia="ru-RU"/>
        </w:rPr>
        <w:t>однако требует применения методов машинного обучения для проведения количественного анализа</w:t>
      </w:r>
      <w:r w:rsidR="00195055">
        <w:rPr>
          <w:rFonts w:eastAsia="Times New Roman"/>
          <w:sz w:val="24"/>
          <w:szCs w:val="24"/>
          <w:lang w:eastAsia="ru-RU"/>
        </w:rPr>
        <w:t xml:space="preserve"> </w:t>
      </w:r>
      <w:r w:rsidR="00195055" w:rsidRPr="00195055">
        <w:rPr>
          <w:rFonts w:eastAsia="Times New Roman"/>
          <w:sz w:val="24"/>
          <w:szCs w:val="24"/>
          <w:lang w:eastAsia="ru-RU"/>
        </w:rPr>
        <w:t>[1</w:t>
      </w:r>
      <w:r w:rsidR="00195055" w:rsidRPr="007D5482">
        <w:rPr>
          <w:rFonts w:eastAsia="Times New Roman"/>
          <w:sz w:val="24"/>
          <w:szCs w:val="24"/>
          <w:lang w:eastAsia="ru-RU"/>
        </w:rPr>
        <w:t>]</w:t>
      </w:r>
      <w:r w:rsidR="00A41D82">
        <w:rPr>
          <w:rFonts w:eastAsia="Times New Roman"/>
          <w:sz w:val="24"/>
          <w:szCs w:val="24"/>
          <w:lang w:eastAsia="ru-RU"/>
        </w:rPr>
        <w:t>.</w:t>
      </w:r>
      <w:r w:rsidR="0016369F">
        <w:rPr>
          <w:rFonts w:eastAsia="Times New Roman"/>
          <w:sz w:val="24"/>
          <w:szCs w:val="24"/>
          <w:lang w:eastAsia="ru-RU"/>
        </w:rPr>
        <w:t xml:space="preserve"> </w:t>
      </w:r>
      <w:r w:rsidR="001E5FFC">
        <w:rPr>
          <w:rFonts w:eastAsia="Times New Roman"/>
          <w:sz w:val="24"/>
          <w:szCs w:val="24"/>
          <w:lang w:eastAsia="ru-RU"/>
        </w:rPr>
        <w:t>Классические методы, такие как метод главных компонент или проекция на латентные структуры</w:t>
      </w:r>
      <w:r w:rsidR="0009190E">
        <w:rPr>
          <w:rFonts w:eastAsia="Times New Roman"/>
          <w:sz w:val="24"/>
          <w:szCs w:val="24"/>
          <w:lang w:eastAsia="ru-RU"/>
        </w:rPr>
        <w:t>,</w:t>
      </w:r>
      <w:r w:rsidR="001E5FFC">
        <w:rPr>
          <w:rFonts w:eastAsia="Times New Roman"/>
          <w:sz w:val="24"/>
          <w:szCs w:val="24"/>
          <w:lang w:eastAsia="ru-RU"/>
        </w:rPr>
        <w:t xml:space="preserve"> не </w:t>
      </w:r>
      <w:r w:rsidR="007147EA">
        <w:rPr>
          <w:rFonts w:eastAsia="Times New Roman"/>
          <w:sz w:val="24"/>
          <w:szCs w:val="24"/>
          <w:lang w:eastAsia="ru-RU"/>
        </w:rPr>
        <w:t>позволяют</w:t>
      </w:r>
      <w:r w:rsidR="001E5FFC">
        <w:rPr>
          <w:rFonts w:eastAsia="Times New Roman"/>
          <w:sz w:val="24"/>
          <w:szCs w:val="24"/>
          <w:lang w:eastAsia="ru-RU"/>
        </w:rPr>
        <w:t xml:space="preserve"> учитывать трилинейную структуру данных спектров возбуждени</w:t>
      </w:r>
      <w:r w:rsidR="0009190E">
        <w:rPr>
          <w:rFonts w:eastAsia="Times New Roman"/>
          <w:sz w:val="24"/>
          <w:szCs w:val="24"/>
          <w:lang w:eastAsia="ru-RU"/>
        </w:rPr>
        <w:t>я</w:t>
      </w:r>
      <w:r w:rsidR="001E5FFC">
        <w:rPr>
          <w:rFonts w:eastAsia="Times New Roman"/>
          <w:sz w:val="24"/>
          <w:szCs w:val="24"/>
          <w:lang w:eastAsia="ru-RU"/>
        </w:rPr>
        <w:t>-испускани</w:t>
      </w:r>
      <w:r w:rsidR="0009190E">
        <w:rPr>
          <w:rFonts w:eastAsia="Times New Roman"/>
          <w:sz w:val="24"/>
          <w:szCs w:val="24"/>
          <w:lang w:eastAsia="ru-RU"/>
        </w:rPr>
        <w:t>я</w:t>
      </w:r>
      <w:r w:rsidR="001E5FFC">
        <w:rPr>
          <w:rFonts w:eastAsia="Times New Roman"/>
          <w:sz w:val="24"/>
          <w:szCs w:val="24"/>
          <w:lang w:eastAsia="ru-RU"/>
        </w:rPr>
        <w:t xml:space="preserve">, поэтому в данной работе была поставлена задача реализовать алгоритм </w:t>
      </w:r>
      <w:r w:rsidR="0009190E">
        <w:rPr>
          <w:rFonts w:eastAsia="Times New Roman"/>
          <w:sz w:val="24"/>
          <w:szCs w:val="24"/>
          <w:lang w:val="en-US" w:eastAsia="ru-RU"/>
        </w:rPr>
        <w:t>N</w:t>
      </w:r>
      <w:r w:rsidR="001E5FFC" w:rsidRPr="001E5FFC">
        <w:rPr>
          <w:rFonts w:eastAsia="Times New Roman"/>
          <w:sz w:val="24"/>
          <w:szCs w:val="24"/>
          <w:lang w:eastAsia="ru-RU"/>
        </w:rPr>
        <w:t xml:space="preserve">-модальной проекции на латентные структуры </w:t>
      </w:r>
      <w:r w:rsidR="001E5FFC">
        <w:rPr>
          <w:rFonts w:eastAsia="Times New Roman"/>
          <w:sz w:val="24"/>
          <w:szCs w:val="24"/>
          <w:lang w:eastAsia="ru-RU"/>
        </w:rPr>
        <w:t>(</w:t>
      </w:r>
      <w:r w:rsidR="001E5FFC">
        <w:rPr>
          <w:rFonts w:eastAsia="Times New Roman"/>
          <w:sz w:val="24"/>
          <w:szCs w:val="24"/>
          <w:lang w:val="en-US" w:eastAsia="ru-RU"/>
        </w:rPr>
        <w:t>N</w:t>
      </w:r>
      <w:r w:rsidR="001E5FFC" w:rsidRPr="00A41D82">
        <w:rPr>
          <w:rFonts w:eastAsia="Times New Roman"/>
          <w:sz w:val="24"/>
          <w:szCs w:val="24"/>
          <w:lang w:eastAsia="ru-RU"/>
        </w:rPr>
        <w:t>-</w:t>
      </w:r>
      <w:r w:rsidR="001E5FFC">
        <w:rPr>
          <w:rFonts w:eastAsia="Times New Roman"/>
          <w:sz w:val="24"/>
          <w:szCs w:val="24"/>
          <w:lang w:val="en-US" w:eastAsia="ru-RU"/>
        </w:rPr>
        <w:t>PLS</w:t>
      </w:r>
      <w:r w:rsidR="001E5FFC" w:rsidRPr="00A41D82">
        <w:rPr>
          <w:rFonts w:eastAsia="Times New Roman"/>
          <w:sz w:val="24"/>
          <w:szCs w:val="24"/>
          <w:lang w:eastAsia="ru-RU"/>
        </w:rPr>
        <w:t>1</w:t>
      </w:r>
      <w:r w:rsidR="001E5FFC">
        <w:rPr>
          <w:rFonts w:eastAsia="Times New Roman"/>
          <w:sz w:val="24"/>
          <w:szCs w:val="24"/>
          <w:lang w:eastAsia="ru-RU"/>
        </w:rPr>
        <w:t>) и применить его для количественного определения РОВ.</w:t>
      </w:r>
    </w:p>
    <w:p w14:paraId="42E7CE83" w14:textId="437F81C9" w:rsidR="004940FB" w:rsidRPr="0059052F" w:rsidRDefault="001E5FFC" w:rsidP="004940F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А</w:t>
      </w:r>
      <w:r w:rsidR="0016369F">
        <w:rPr>
          <w:rFonts w:eastAsia="Times New Roman"/>
          <w:sz w:val="24"/>
          <w:szCs w:val="24"/>
          <w:lang w:eastAsia="ru-RU"/>
        </w:rPr>
        <w:t xml:space="preserve">лгоритм </w:t>
      </w:r>
      <w:r w:rsidR="0016369F">
        <w:rPr>
          <w:rFonts w:eastAsia="Times New Roman"/>
          <w:sz w:val="24"/>
          <w:szCs w:val="24"/>
          <w:lang w:val="en-US" w:eastAsia="ru-RU"/>
        </w:rPr>
        <w:t>N</w:t>
      </w:r>
      <w:r w:rsidR="0016369F" w:rsidRPr="0016369F">
        <w:rPr>
          <w:rFonts w:eastAsia="Times New Roman"/>
          <w:sz w:val="24"/>
          <w:szCs w:val="24"/>
          <w:lang w:eastAsia="ru-RU"/>
        </w:rPr>
        <w:t>-</w:t>
      </w:r>
      <w:r w:rsidR="0016369F">
        <w:rPr>
          <w:rFonts w:eastAsia="Times New Roman"/>
          <w:sz w:val="24"/>
          <w:szCs w:val="24"/>
          <w:lang w:val="en-US" w:eastAsia="ru-RU"/>
        </w:rPr>
        <w:t>PLS</w:t>
      </w:r>
      <w:r w:rsidR="0016369F" w:rsidRPr="0016369F">
        <w:rPr>
          <w:rFonts w:eastAsia="Times New Roman"/>
          <w:sz w:val="24"/>
          <w:szCs w:val="24"/>
          <w:lang w:eastAsia="ru-RU"/>
        </w:rPr>
        <w:t xml:space="preserve">1 </w:t>
      </w:r>
      <w:r>
        <w:rPr>
          <w:rFonts w:eastAsia="Times New Roman"/>
          <w:sz w:val="24"/>
          <w:szCs w:val="24"/>
          <w:lang w:eastAsia="ru-RU"/>
        </w:rPr>
        <w:t>с добавлением</w:t>
      </w:r>
      <w:r w:rsidRPr="0016369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L</w:t>
      </w:r>
      <w:r w:rsidRPr="00740426">
        <w:rPr>
          <w:rFonts w:eastAsia="Times New Roman"/>
          <w:sz w:val="24"/>
          <w:szCs w:val="24"/>
          <w:vertAlign w:val="subscript"/>
          <w:lang w:eastAsia="ru-RU"/>
        </w:rPr>
        <w:t>2</w:t>
      </w:r>
      <w:r w:rsidR="0009190E" w:rsidRPr="0009190E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 xml:space="preserve">регуляризации </w:t>
      </w:r>
      <w:r w:rsidR="0009190E">
        <w:rPr>
          <w:rFonts w:eastAsia="Times New Roman"/>
          <w:sz w:val="24"/>
          <w:szCs w:val="24"/>
          <w:lang w:eastAsia="ru-RU"/>
        </w:rPr>
        <w:t xml:space="preserve">по </w:t>
      </w:r>
      <w:r>
        <w:rPr>
          <w:rFonts w:eastAsia="Times New Roman"/>
          <w:sz w:val="24"/>
          <w:szCs w:val="24"/>
          <w:lang w:eastAsia="ru-RU"/>
        </w:rPr>
        <w:t>Тихонов</w:t>
      </w:r>
      <w:r w:rsidR="0009190E">
        <w:rPr>
          <w:rFonts w:eastAsia="Times New Roman"/>
          <w:sz w:val="24"/>
          <w:szCs w:val="24"/>
          <w:lang w:eastAsia="ru-RU"/>
        </w:rPr>
        <w:t>у</w:t>
      </w:r>
      <w:r>
        <w:rPr>
          <w:rFonts w:eastAsia="Times New Roman"/>
          <w:sz w:val="24"/>
          <w:szCs w:val="24"/>
          <w:lang w:eastAsia="ru-RU"/>
        </w:rPr>
        <w:t xml:space="preserve"> был реализован </w:t>
      </w:r>
      <w:r w:rsidR="00A97013">
        <w:rPr>
          <w:rFonts w:eastAsia="Times New Roman"/>
          <w:sz w:val="24"/>
          <w:szCs w:val="24"/>
          <w:lang w:eastAsia="ru-RU"/>
        </w:rPr>
        <w:t>с использованием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16369F">
        <w:rPr>
          <w:rFonts w:eastAsia="Times New Roman"/>
          <w:sz w:val="24"/>
          <w:szCs w:val="24"/>
          <w:lang w:val="en-US" w:eastAsia="ru-RU"/>
        </w:rPr>
        <w:t>Python</w:t>
      </w:r>
      <w:r w:rsidR="00AD232F">
        <w:rPr>
          <w:rFonts w:eastAsia="Times New Roman"/>
          <w:sz w:val="24"/>
          <w:szCs w:val="24"/>
          <w:lang w:eastAsia="ru-RU"/>
        </w:rPr>
        <w:t xml:space="preserve"> 3</w:t>
      </w:r>
      <w:r w:rsidR="004940FB">
        <w:rPr>
          <w:rFonts w:eastAsia="Times New Roman"/>
          <w:sz w:val="24"/>
          <w:szCs w:val="24"/>
          <w:lang w:eastAsia="ru-RU"/>
        </w:rPr>
        <w:t xml:space="preserve"> и опубликован</w:t>
      </w:r>
      <w:r w:rsidR="0016369F">
        <w:rPr>
          <w:rFonts w:eastAsia="Times New Roman"/>
          <w:sz w:val="24"/>
          <w:szCs w:val="24"/>
          <w:lang w:eastAsia="ru-RU"/>
        </w:rPr>
        <w:t xml:space="preserve"> в индексе пакетов </w:t>
      </w:r>
      <w:r w:rsidR="0016369F">
        <w:rPr>
          <w:rFonts w:eastAsia="Times New Roman"/>
          <w:sz w:val="24"/>
          <w:szCs w:val="24"/>
          <w:lang w:val="en-US" w:eastAsia="ru-RU"/>
        </w:rPr>
        <w:t>PyPi</w:t>
      </w:r>
      <w:r w:rsidR="0016369F">
        <w:rPr>
          <w:rStyle w:val="a8"/>
          <w:rFonts w:eastAsia="Times New Roman"/>
          <w:sz w:val="24"/>
          <w:szCs w:val="24"/>
          <w:lang w:val="en-US" w:eastAsia="ru-RU"/>
        </w:rPr>
        <w:footnoteReference w:id="1"/>
      </w:r>
      <w:r w:rsidR="004940FB">
        <w:rPr>
          <w:rStyle w:val="a8"/>
          <w:rFonts w:eastAsia="Times New Roman"/>
          <w:sz w:val="24"/>
          <w:szCs w:val="24"/>
          <w:lang w:eastAsia="ru-RU"/>
        </w:rPr>
        <w:footnoteReference w:id="2"/>
      </w:r>
      <w:r w:rsidR="004940FB">
        <w:rPr>
          <w:rFonts w:eastAsia="Times New Roman"/>
          <w:sz w:val="24"/>
          <w:szCs w:val="24"/>
          <w:lang w:eastAsia="ru-RU"/>
        </w:rPr>
        <w:t xml:space="preserve"> </w:t>
      </w:r>
      <w:r w:rsidR="006A678C">
        <w:rPr>
          <w:rFonts w:eastAsia="Times New Roman"/>
          <w:sz w:val="24"/>
          <w:szCs w:val="24"/>
          <w:lang w:eastAsia="ru-RU"/>
        </w:rPr>
        <w:t xml:space="preserve">под лицензией </w:t>
      </w:r>
      <w:r w:rsidR="006A678C">
        <w:rPr>
          <w:rFonts w:eastAsia="Times New Roman"/>
          <w:sz w:val="24"/>
          <w:szCs w:val="24"/>
          <w:lang w:val="en-US" w:eastAsia="ru-RU"/>
        </w:rPr>
        <w:t>GPL</w:t>
      </w:r>
      <w:r w:rsidR="006A678C" w:rsidRPr="006A678C">
        <w:rPr>
          <w:rFonts w:eastAsia="Times New Roman"/>
          <w:sz w:val="24"/>
          <w:szCs w:val="24"/>
          <w:lang w:eastAsia="ru-RU"/>
        </w:rPr>
        <w:t>-3.</w:t>
      </w:r>
      <w:r w:rsidR="006A678C" w:rsidRPr="008B26FD">
        <w:rPr>
          <w:rFonts w:eastAsia="Times New Roman"/>
          <w:sz w:val="24"/>
          <w:szCs w:val="24"/>
          <w:lang w:eastAsia="ru-RU"/>
        </w:rPr>
        <w:t>0</w:t>
      </w:r>
      <w:r w:rsidR="0016369F">
        <w:rPr>
          <w:rFonts w:eastAsia="Times New Roman"/>
          <w:sz w:val="24"/>
          <w:szCs w:val="24"/>
          <w:lang w:eastAsia="ru-RU"/>
        </w:rPr>
        <w:t>.</w:t>
      </w:r>
      <w:r w:rsidR="00536164">
        <w:rPr>
          <w:rFonts w:eastAsia="Times New Roman"/>
          <w:sz w:val="24"/>
          <w:szCs w:val="24"/>
          <w:lang w:eastAsia="ru-RU"/>
        </w:rPr>
        <w:t xml:space="preserve"> </w:t>
      </w:r>
      <w:r w:rsidR="008B32EE">
        <w:rPr>
          <w:rFonts w:eastAsia="Times New Roman"/>
          <w:sz w:val="24"/>
          <w:szCs w:val="24"/>
          <w:lang w:eastAsia="ru-RU"/>
        </w:rPr>
        <w:t xml:space="preserve">Для </w:t>
      </w:r>
      <w:r w:rsidR="004940FB">
        <w:rPr>
          <w:rFonts w:eastAsia="Times New Roman"/>
          <w:sz w:val="24"/>
          <w:szCs w:val="24"/>
          <w:lang w:eastAsia="ru-RU"/>
        </w:rPr>
        <w:t xml:space="preserve">выбора количества </w:t>
      </w:r>
      <w:r w:rsidR="0009190E">
        <w:rPr>
          <w:rFonts w:eastAsia="Times New Roman"/>
          <w:sz w:val="24"/>
          <w:szCs w:val="24"/>
          <w:lang w:eastAsia="ru-RU"/>
        </w:rPr>
        <w:t>компонентов</w:t>
      </w:r>
      <w:r w:rsidR="00537BA6">
        <w:rPr>
          <w:rFonts w:eastAsia="Times New Roman"/>
          <w:sz w:val="24"/>
          <w:szCs w:val="24"/>
          <w:lang w:eastAsia="ru-RU"/>
        </w:rPr>
        <w:t xml:space="preserve"> </w:t>
      </w:r>
      <w:r w:rsidR="004940FB">
        <w:rPr>
          <w:rFonts w:eastAsia="Times New Roman"/>
          <w:sz w:val="24"/>
          <w:szCs w:val="24"/>
          <w:lang w:eastAsia="ru-RU"/>
        </w:rPr>
        <w:t xml:space="preserve">модели </w:t>
      </w:r>
      <w:r w:rsidR="00537BA6">
        <w:rPr>
          <w:rFonts w:eastAsia="Times New Roman"/>
          <w:sz w:val="24"/>
          <w:szCs w:val="24"/>
          <w:lang w:eastAsia="ru-RU"/>
        </w:rPr>
        <w:t>(</w:t>
      </w:r>
      <w:r w:rsidR="0009190E">
        <w:rPr>
          <w:rFonts w:eastAsia="Times New Roman"/>
          <w:sz w:val="24"/>
          <w:szCs w:val="24"/>
          <w:lang w:eastAsia="ru-RU"/>
        </w:rPr>
        <w:t>сингулярных векторов</w:t>
      </w:r>
      <w:r w:rsidR="004940FB">
        <w:rPr>
          <w:rFonts w:eastAsia="Times New Roman"/>
          <w:sz w:val="24"/>
          <w:szCs w:val="24"/>
          <w:lang w:eastAsia="ru-RU"/>
        </w:rPr>
        <w:t>)</w:t>
      </w:r>
      <w:r w:rsidR="00907042">
        <w:rPr>
          <w:rFonts w:eastAsia="Times New Roman"/>
          <w:sz w:val="24"/>
          <w:szCs w:val="24"/>
          <w:lang w:eastAsia="ru-RU"/>
        </w:rPr>
        <w:t xml:space="preserve"> использ</w:t>
      </w:r>
      <w:r w:rsidR="004940FB">
        <w:rPr>
          <w:rFonts w:eastAsia="Times New Roman"/>
          <w:sz w:val="24"/>
          <w:szCs w:val="24"/>
          <w:lang w:eastAsia="ru-RU"/>
        </w:rPr>
        <w:t xml:space="preserve">овали </w:t>
      </w:r>
      <w:r w:rsidR="00907042">
        <w:rPr>
          <w:rFonts w:eastAsia="Times New Roman"/>
          <w:sz w:val="24"/>
          <w:szCs w:val="24"/>
          <w:lang w:eastAsia="ru-RU"/>
        </w:rPr>
        <w:t xml:space="preserve">норму производной </w:t>
      </w:r>
      <w:r w:rsidR="00907042">
        <w:rPr>
          <w:rFonts w:eastAsia="Times New Roman"/>
          <w:sz w:val="24"/>
          <w:szCs w:val="24"/>
          <w:lang w:val="en-US" w:eastAsia="ru-RU"/>
        </w:rPr>
        <w:t>n</w:t>
      </w:r>
      <w:r w:rsidR="00907042" w:rsidRPr="00907042">
        <w:rPr>
          <w:rFonts w:eastAsia="Times New Roman"/>
          <w:sz w:val="24"/>
          <w:szCs w:val="24"/>
          <w:lang w:eastAsia="ru-RU"/>
        </w:rPr>
        <w:t>-</w:t>
      </w:r>
      <w:r w:rsidR="00907042">
        <w:rPr>
          <w:rFonts w:eastAsia="Times New Roman"/>
          <w:sz w:val="24"/>
          <w:szCs w:val="24"/>
          <w:lang w:eastAsia="ru-RU"/>
        </w:rPr>
        <w:t>го</w:t>
      </w:r>
      <w:r w:rsidR="00907042" w:rsidRPr="00907042">
        <w:rPr>
          <w:rFonts w:eastAsia="Times New Roman"/>
          <w:sz w:val="24"/>
          <w:szCs w:val="24"/>
          <w:lang w:eastAsia="ru-RU"/>
        </w:rPr>
        <w:t xml:space="preserve"> </w:t>
      </w:r>
      <w:r w:rsidR="00907042">
        <w:rPr>
          <w:rFonts w:eastAsia="Times New Roman"/>
          <w:sz w:val="24"/>
          <w:szCs w:val="24"/>
          <w:lang w:eastAsia="ru-RU"/>
        </w:rPr>
        <w:t xml:space="preserve">порядка, </w:t>
      </w:r>
      <w:r w:rsidR="004940FB">
        <w:rPr>
          <w:rFonts w:eastAsia="Times New Roman"/>
          <w:sz w:val="24"/>
          <w:szCs w:val="24"/>
          <w:lang w:eastAsia="ru-RU"/>
        </w:rPr>
        <w:t xml:space="preserve">чтобы избежать </w:t>
      </w:r>
      <w:r w:rsidR="0009190E">
        <w:rPr>
          <w:rFonts w:eastAsia="Times New Roman"/>
          <w:sz w:val="24"/>
          <w:szCs w:val="24"/>
          <w:lang w:eastAsia="ru-RU"/>
        </w:rPr>
        <w:t xml:space="preserve">включения </w:t>
      </w:r>
      <w:r w:rsidR="004940FB">
        <w:rPr>
          <w:rFonts w:eastAsia="Times New Roman"/>
          <w:sz w:val="24"/>
          <w:szCs w:val="24"/>
          <w:lang w:eastAsia="ru-RU"/>
        </w:rPr>
        <w:t xml:space="preserve">шума </w:t>
      </w:r>
      <w:r w:rsidR="0009190E">
        <w:rPr>
          <w:rFonts w:eastAsia="Times New Roman"/>
          <w:sz w:val="24"/>
          <w:szCs w:val="24"/>
          <w:lang w:eastAsia="ru-RU"/>
        </w:rPr>
        <w:t xml:space="preserve">в модель </w:t>
      </w:r>
      <w:r w:rsidR="004940FB">
        <w:rPr>
          <w:rFonts w:eastAsia="Times New Roman"/>
          <w:sz w:val="24"/>
          <w:szCs w:val="24"/>
          <w:lang w:eastAsia="ru-RU"/>
        </w:rPr>
        <w:t>и переобучения</w:t>
      </w:r>
      <w:r w:rsidR="00907042">
        <w:rPr>
          <w:rFonts w:eastAsia="Times New Roman"/>
          <w:sz w:val="24"/>
          <w:szCs w:val="24"/>
          <w:lang w:eastAsia="ru-RU"/>
        </w:rPr>
        <w:t xml:space="preserve">. </w:t>
      </w:r>
      <w:r w:rsidR="004940FB">
        <w:rPr>
          <w:rFonts w:eastAsia="Times New Roman"/>
          <w:sz w:val="24"/>
          <w:szCs w:val="24"/>
          <w:lang w:eastAsia="ru-RU"/>
        </w:rPr>
        <w:t>В качестве предобработки, из всех спектров удаляли сигнал Рамановского и Рэлеевского рассеяния воды, и образовавшуюся область интерполировали при помощи монотонной кусочно-кубической интерполяции, потому что они не удовлетворяли условию трилинейности сигнала. Также проводи</w:t>
      </w:r>
      <w:r w:rsidR="0009190E">
        <w:rPr>
          <w:rFonts w:eastAsia="Times New Roman"/>
          <w:sz w:val="24"/>
          <w:szCs w:val="24"/>
          <w:lang w:eastAsia="ru-RU"/>
        </w:rPr>
        <w:t>л</w:t>
      </w:r>
      <w:r w:rsidR="004940FB">
        <w:rPr>
          <w:rFonts w:eastAsia="Times New Roman"/>
          <w:sz w:val="24"/>
          <w:szCs w:val="24"/>
          <w:lang w:eastAsia="ru-RU"/>
        </w:rPr>
        <w:t>и центрирование всех наборов данных. Для валидации модели применяли кросс-валидацию</w:t>
      </w:r>
      <w:r w:rsidR="004940FB" w:rsidRPr="00AD0161">
        <w:rPr>
          <w:rFonts w:eastAsia="Times New Roman"/>
          <w:sz w:val="24"/>
          <w:szCs w:val="24"/>
          <w:lang w:eastAsia="ru-RU"/>
        </w:rPr>
        <w:t xml:space="preserve"> </w:t>
      </w:r>
      <w:r w:rsidR="004940FB">
        <w:rPr>
          <w:rFonts w:eastAsia="Times New Roman"/>
          <w:sz w:val="24"/>
          <w:szCs w:val="24"/>
          <w:lang w:eastAsia="ru-RU"/>
        </w:rPr>
        <w:t>с решётчатым поиском</w:t>
      </w:r>
      <w:r w:rsidR="004940FB">
        <w:rPr>
          <w:rStyle w:val="a8"/>
          <w:rFonts w:eastAsia="Times New Roman"/>
          <w:sz w:val="24"/>
          <w:szCs w:val="24"/>
          <w:lang w:val="en-US" w:eastAsia="ru-RU"/>
        </w:rPr>
        <w:footnoteReference w:id="3"/>
      </w:r>
      <w:r w:rsidR="004940FB">
        <w:rPr>
          <w:rFonts w:eastAsia="Times New Roman"/>
          <w:sz w:val="24"/>
          <w:szCs w:val="24"/>
          <w:lang w:eastAsia="ru-RU"/>
        </w:rPr>
        <w:t xml:space="preserve"> и </w:t>
      </w:r>
      <w:r w:rsidR="0009190E">
        <w:rPr>
          <w:rFonts w:eastAsia="Times New Roman"/>
          <w:sz w:val="24"/>
          <w:szCs w:val="24"/>
          <w:lang w:eastAsia="ru-RU"/>
        </w:rPr>
        <w:t>многократным перемешиванием</w:t>
      </w:r>
      <w:r w:rsidR="004940FB">
        <w:rPr>
          <w:rFonts w:eastAsia="Times New Roman"/>
          <w:sz w:val="24"/>
          <w:szCs w:val="24"/>
          <w:lang w:eastAsia="ru-RU"/>
        </w:rPr>
        <w:t xml:space="preserve"> данных</w:t>
      </w:r>
      <w:r w:rsidR="004940FB">
        <w:rPr>
          <w:sz w:val="24"/>
          <w:szCs w:val="24"/>
        </w:rPr>
        <w:t>, что позволило добиться равномерного распределения значений в обучающем наборе. Оптимизацию модели проводили по коэффициенту регуляризации и числу компонент разложения.</w:t>
      </w:r>
    </w:p>
    <w:p w14:paraId="5392445B" w14:textId="3A9CEE79" w:rsidR="0016369F" w:rsidRDefault="004940FB" w:rsidP="00FA63C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помощью разработанной модели содержание РОВ определяли как для синтетических и стандартизированных </w:t>
      </w:r>
      <w:r w:rsidR="00E91804">
        <w:rPr>
          <w:rFonts w:eastAsia="Times New Roman"/>
          <w:sz w:val="24"/>
          <w:szCs w:val="24"/>
          <w:lang w:eastAsia="ru-RU"/>
        </w:rPr>
        <w:t>набор</w:t>
      </w:r>
      <w:r>
        <w:rPr>
          <w:rFonts w:eastAsia="Times New Roman"/>
          <w:sz w:val="24"/>
          <w:szCs w:val="24"/>
          <w:lang w:eastAsia="ru-RU"/>
        </w:rPr>
        <w:t>ов</w:t>
      </w:r>
      <w:r w:rsidR="00E91804">
        <w:rPr>
          <w:rFonts w:eastAsia="Times New Roman"/>
          <w:sz w:val="24"/>
          <w:szCs w:val="24"/>
          <w:lang w:eastAsia="ru-RU"/>
        </w:rPr>
        <w:t xml:space="preserve"> данных</w:t>
      </w:r>
      <w:r w:rsidRPr="004940FB">
        <w:t xml:space="preserve"> </w:t>
      </w:r>
      <w:r w:rsidRPr="004940FB">
        <w:rPr>
          <w:rFonts w:eastAsia="Times New Roman"/>
          <w:sz w:val="24"/>
          <w:szCs w:val="24"/>
          <w:lang w:eastAsia="ru-RU"/>
        </w:rPr>
        <w:t>«Fluorescence» и «Dorrit fluorescence data</w:t>
      </w:r>
      <w:r w:rsidR="000C5570">
        <w:rPr>
          <w:rFonts w:eastAsia="Times New Roman"/>
          <w:sz w:val="24"/>
          <w:szCs w:val="24"/>
          <w:lang w:eastAsia="ru-RU"/>
        </w:rPr>
        <w:t>» с сайта</w:t>
      </w:r>
      <w:r w:rsidR="009B3EF8">
        <w:rPr>
          <w:rFonts w:eastAsia="Times New Roman"/>
          <w:sz w:val="24"/>
          <w:szCs w:val="24"/>
          <w:lang w:eastAsia="ru-RU"/>
        </w:rPr>
        <w:t xml:space="preserve"> Копенгагенской хемометрической группы</w:t>
      </w:r>
      <w:r>
        <w:rPr>
          <w:rFonts w:eastAsia="Times New Roman"/>
          <w:sz w:val="24"/>
          <w:szCs w:val="24"/>
          <w:lang w:eastAsia="ru-RU"/>
        </w:rPr>
        <w:t xml:space="preserve">, так и для </w:t>
      </w:r>
      <w:r w:rsidR="007A3C87">
        <w:rPr>
          <w:rFonts w:eastAsia="Times New Roman"/>
          <w:sz w:val="24"/>
          <w:szCs w:val="24"/>
          <w:lang w:eastAsia="ru-RU"/>
        </w:rPr>
        <w:t>набора образцов, имитирующего морские воды, для приготовления которых использовались различные по происхождению гуминовые вещества и аминокислоты</w:t>
      </w:r>
      <w:r w:rsidR="00C64A88">
        <w:rPr>
          <w:rFonts w:eastAsia="Times New Roman"/>
          <w:sz w:val="24"/>
          <w:szCs w:val="24"/>
          <w:lang w:eastAsia="ru-RU"/>
        </w:rPr>
        <w:t>.</w:t>
      </w:r>
      <w:r w:rsidR="007A3C87">
        <w:rPr>
          <w:rFonts w:eastAsia="Times New Roman"/>
          <w:sz w:val="24"/>
          <w:szCs w:val="24"/>
          <w:lang w:eastAsia="ru-RU"/>
        </w:rPr>
        <w:t xml:space="preserve"> </w:t>
      </w:r>
      <w:r w:rsidR="008D19D2">
        <w:rPr>
          <w:rFonts w:eastAsia="Times New Roman"/>
          <w:sz w:val="24"/>
          <w:szCs w:val="24"/>
          <w:lang w:eastAsia="ru-RU"/>
        </w:rPr>
        <w:t>Для всех наборов данных</w:t>
      </w:r>
      <w:r w:rsidR="00F16E96">
        <w:rPr>
          <w:rFonts w:eastAsia="Times New Roman"/>
          <w:sz w:val="24"/>
          <w:szCs w:val="24"/>
          <w:lang w:eastAsia="ru-RU"/>
        </w:rPr>
        <w:t xml:space="preserve"> </w:t>
      </w:r>
      <w:r w:rsidR="008D19D2">
        <w:rPr>
          <w:rFonts w:eastAsia="Times New Roman"/>
          <w:sz w:val="24"/>
          <w:szCs w:val="24"/>
          <w:lang w:val="en-US" w:eastAsia="ru-RU"/>
        </w:rPr>
        <w:t>RMSE</w:t>
      </w:r>
      <w:r w:rsidR="008D19D2" w:rsidRPr="008D19D2">
        <w:rPr>
          <w:rFonts w:eastAsia="Times New Roman"/>
          <w:sz w:val="24"/>
          <w:szCs w:val="24"/>
          <w:lang w:eastAsia="ru-RU"/>
        </w:rPr>
        <w:t>/</w:t>
      </w:r>
      <w:r w:rsidR="008D19D2">
        <w:rPr>
          <w:rFonts w:eastAsia="Times New Roman"/>
          <w:sz w:val="24"/>
          <w:szCs w:val="24"/>
          <w:lang w:eastAsia="ru-RU"/>
        </w:rPr>
        <w:t>диапазон концентраций не превосходит 0.13, а коэффициент детерминации больше 0.7.</w:t>
      </w:r>
      <w:r w:rsidR="007A3C87">
        <w:rPr>
          <w:rFonts w:eastAsia="Times New Roman"/>
          <w:sz w:val="24"/>
          <w:szCs w:val="24"/>
          <w:lang w:eastAsia="ru-RU"/>
        </w:rPr>
        <w:t xml:space="preserve"> </w:t>
      </w:r>
      <w:r w:rsidR="007A3C87" w:rsidRPr="008D19D2">
        <w:rPr>
          <w:rFonts w:eastAsia="Times New Roman"/>
          <w:sz w:val="24"/>
          <w:szCs w:val="24"/>
          <w:lang w:eastAsia="ru-RU"/>
        </w:rPr>
        <w:t>Таким образом</w:t>
      </w:r>
      <w:r w:rsidR="007147EA" w:rsidRPr="008D19D2">
        <w:rPr>
          <w:rFonts w:eastAsia="Times New Roman"/>
          <w:sz w:val="24"/>
          <w:szCs w:val="24"/>
          <w:lang w:eastAsia="ru-RU"/>
        </w:rPr>
        <w:t>,</w:t>
      </w:r>
      <w:r w:rsidR="007A3C87" w:rsidRPr="008D19D2">
        <w:rPr>
          <w:rFonts w:eastAsia="Times New Roman"/>
          <w:sz w:val="24"/>
          <w:szCs w:val="24"/>
          <w:lang w:eastAsia="ru-RU"/>
        </w:rPr>
        <w:t xml:space="preserve"> показано, что предложенная модель позволяет проводить прямое определение РОВ в морских водах в условиях сильной вариабельности их спектров флуоресценции.</w:t>
      </w:r>
    </w:p>
    <w:p w14:paraId="6E403232" w14:textId="77777777" w:rsidR="002F57D7" w:rsidRPr="001E5FFC" w:rsidRDefault="002F57D7" w:rsidP="005C0F08">
      <w:pPr>
        <w:pStyle w:val="2"/>
        <w:spacing w:after="0" w:line="276" w:lineRule="auto"/>
        <w:jc w:val="center"/>
        <w:rPr>
          <w:rFonts w:eastAsia="Times New Roman"/>
          <w:b/>
          <w:bCs/>
          <w:szCs w:val="28"/>
          <w:shd w:val="clear" w:color="auto" w:fill="FFFFFF"/>
          <w:lang w:val="en-US"/>
        </w:rPr>
      </w:pPr>
      <w:r w:rsidRPr="00784BE5">
        <w:rPr>
          <w:rFonts w:eastAsia="Times New Roman"/>
          <w:b/>
          <w:bCs/>
          <w:szCs w:val="28"/>
          <w:shd w:val="clear" w:color="auto" w:fill="FFFFFF"/>
        </w:rPr>
        <w:t>Литература</w:t>
      </w:r>
      <w:r w:rsidRPr="001E5FFC">
        <w:rPr>
          <w:rFonts w:eastAsia="Times New Roman"/>
          <w:b/>
          <w:bCs/>
          <w:szCs w:val="28"/>
          <w:shd w:val="clear" w:color="auto" w:fill="FFFFFF"/>
          <w:lang w:val="en-US"/>
        </w:rPr>
        <w:t>:</w:t>
      </w:r>
    </w:p>
    <w:p w14:paraId="583B1923" w14:textId="5121FC30" w:rsidR="002F57D7" w:rsidRPr="005C0F08" w:rsidRDefault="002F57D7" w:rsidP="00265253">
      <w:pPr>
        <w:pStyle w:val="a9"/>
        <w:spacing w:line="240" w:lineRule="auto"/>
        <w:ind w:right="425" w:firstLine="0"/>
        <w:rPr>
          <w:rFonts w:eastAsia="Times New Roman"/>
          <w:sz w:val="24"/>
          <w:szCs w:val="24"/>
          <w:lang w:val="en-US" w:eastAsia="ru-RU"/>
        </w:rPr>
      </w:pPr>
      <w:r>
        <w:rPr>
          <w:lang w:val="en-US"/>
        </w:rPr>
        <w:fldChar w:fldCharType="begin"/>
      </w:r>
      <w:r w:rsidRPr="00236828">
        <w:rPr>
          <w:lang w:val="en-US"/>
        </w:rPr>
        <w:instrText xml:space="preserve"> </w:instrText>
      </w:r>
      <w:r>
        <w:rPr>
          <w:lang w:val="en-US"/>
        </w:rPr>
        <w:instrText>ADDIN</w:instrText>
      </w:r>
      <w:r w:rsidRPr="00236828">
        <w:rPr>
          <w:lang w:val="en-US"/>
        </w:rPr>
        <w:instrText xml:space="preserve"> </w:instrText>
      </w:r>
      <w:r>
        <w:rPr>
          <w:lang w:val="en-US"/>
        </w:rPr>
        <w:instrText>ZOTERO</w:instrText>
      </w:r>
      <w:r w:rsidRPr="00236828">
        <w:rPr>
          <w:lang w:val="en-US"/>
        </w:rPr>
        <w:instrText>_</w:instrText>
      </w:r>
      <w:r>
        <w:rPr>
          <w:lang w:val="en-US"/>
        </w:rPr>
        <w:instrText>BIBL</w:instrText>
      </w:r>
      <w:r w:rsidRPr="00236828">
        <w:rPr>
          <w:lang w:val="en-US"/>
        </w:rPr>
        <w:instrText xml:space="preserve"> {"</w:instrText>
      </w:r>
      <w:r>
        <w:rPr>
          <w:lang w:val="en-US"/>
        </w:rPr>
        <w:instrText>uncited</w:instrText>
      </w:r>
      <w:r w:rsidRPr="00236828">
        <w:rPr>
          <w:lang w:val="en-US"/>
        </w:rPr>
        <w:instrText>":[],"</w:instrText>
      </w:r>
      <w:r>
        <w:rPr>
          <w:lang w:val="en-US"/>
        </w:rPr>
        <w:instrText>omitted</w:instrText>
      </w:r>
      <w:r w:rsidRPr="00236828">
        <w:rPr>
          <w:lang w:val="en-US"/>
        </w:rPr>
        <w:instrText>":[],"</w:instrText>
      </w:r>
      <w:r>
        <w:rPr>
          <w:lang w:val="en-US"/>
        </w:rPr>
        <w:instrText>custom</w:instrText>
      </w:r>
      <w:r w:rsidRPr="00236828">
        <w:rPr>
          <w:lang w:val="en-US"/>
        </w:rPr>
        <w:instrText xml:space="preserve">":[]} </w:instrText>
      </w:r>
      <w:r>
        <w:rPr>
          <w:lang w:val="en-US"/>
        </w:rPr>
        <w:instrText>CSL</w:instrText>
      </w:r>
      <w:r w:rsidRPr="00236828">
        <w:rPr>
          <w:lang w:val="en-US"/>
        </w:rPr>
        <w:instrText>_</w:instrText>
      </w:r>
      <w:r>
        <w:rPr>
          <w:lang w:val="en-US"/>
        </w:rPr>
        <w:instrText>BIBLIOGRAPHY</w:instrText>
      </w:r>
      <w:r w:rsidRPr="00236828"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 w:rsidRPr="00236828">
        <w:rPr>
          <w:sz w:val="24"/>
          <w:lang w:val="en-US"/>
        </w:rPr>
        <w:t>1.</w:t>
      </w:r>
      <w:r w:rsidRPr="00236828">
        <w:rPr>
          <w:sz w:val="24"/>
          <w:lang w:val="en-US"/>
        </w:rPr>
        <w:tab/>
      </w:r>
      <w:r w:rsidRPr="00760F4A">
        <w:rPr>
          <w:i/>
          <w:iCs/>
          <w:sz w:val="24"/>
          <w:lang w:val="en-US"/>
        </w:rPr>
        <w:t>Smilde</w:t>
      </w:r>
      <w:r w:rsidRPr="00236828">
        <w:rPr>
          <w:i/>
          <w:iCs/>
          <w:sz w:val="24"/>
          <w:lang w:val="en-US"/>
        </w:rPr>
        <w:t>,</w:t>
      </w:r>
      <w:r w:rsidRPr="00760F4A">
        <w:rPr>
          <w:i/>
          <w:iCs/>
          <w:sz w:val="24"/>
          <w:lang w:val="en-US"/>
        </w:rPr>
        <w:t> A</w:t>
      </w:r>
      <w:r w:rsidRPr="00236828">
        <w:rPr>
          <w:i/>
          <w:iCs/>
          <w:sz w:val="24"/>
          <w:lang w:val="en-US"/>
        </w:rPr>
        <w:t>.</w:t>
      </w:r>
      <w:r w:rsidRPr="00236828">
        <w:rPr>
          <w:sz w:val="24"/>
          <w:lang w:val="en-US"/>
        </w:rPr>
        <w:t xml:space="preserve"> </w:t>
      </w:r>
      <w:r w:rsidRPr="00760F4A">
        <w:rPr>
          <w:sz w:val="24"/>
          <w:lang w:val="en-US"/>
        </w:rPr>
        <w:t>Multi</w:t>
      </w:r>
      <w:r w:rsidRPr="00236828">
        <w:rPr>
          <w:sz w:val="24"/>
          <w:lang w:val="en-US"/>
        </w:rPr>
        <w:t>-</w:t>
      </w:r>
      <w:r w:rsidRPr="00760F4A">
        <w:rPr>
          <w:sz w:val="24"/>
          <w:lang w:val="en-US"/>
        </w:rPr>
        <w:t>Way</w:t>
      </w:r>
      <w:r w:rsidRPr="00236828">
        <w:rPr>
          <w:sz w:val="24"/>
          <w:lang w:val="en-US"/>
        </w:rPr>
        <w:t xml:space="preserve"> </w:t>
      </w:r>
      <w:r w:rsidRPr="00760F4A">
        <w:rPr>
          <w:sz w:val="24"/>
          <w:lang w:val="en-US"/>
        </w:rPr>
        <w:t>Analysis</w:t>
      </w:r>
      <w:r w:rsidRPr="00236828">
        <w:rPr>
          <w:sz w:val="24"/>
          <w:lang w:val="en-US"/>
        </w:rPr>
        <w:t xml:space="preserve"> </w:t>
      </w:r>
      <w:r w:rsidRPr="00760F4A">
        <w:rPr>
          <w:sz w:val="24"/>
          <w:lang w:val="en-US"/>
        </w:rPr>
        <w:t>with</w:t>
      </w:r>
      <w:r w:rsidRPr="00236828">
        <w:rPr>
          <w:sz w:val="24"/>
          <w:lang w:val="en-US"/>
        </w:rPr>
        <w:t xml:space="preserve"> </w:t>
      </w:r>
      <w:r w:rsidRPr="00760F4A">
        <w:rPr>
          <w:sz w:val="24"/>
          <w:lang w:val="en-US"/>
        </w:rPr>
        <w:t>Applications in the Chemical Sciences. Multi-Way Analysis with Applications in the Chemical Sciences / A. Smilde, R. Bro, P. Geladi. – WILEY. – Chichester, UK: John Wiley &amp; Sons, Ltd, 2004. – 369 p.</w:t>
      </w:r>
      <w:r>
        <w:rPr>
          <w:sz w:val="24"/>
          <w:lang w:val="en-US"/>
        </w:rPr>
        <w:fldChar w:fldCharType="end"/>
      </w:r>
    </w:p>
    <w:sectPr w:rsidR="002F57D7" w:rsidRPr="005C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9797" w14:textId="77777777" w:rsidR="005919E6" w:rsidRDefault="005919E6" w:rsidP="0016369F">
      <w:pPr>
        <w:spacing w:after="0" w:line="240" w:lineRule="auto"/>
      </w:pPr>
      <w:r>
        <w:separator/>
      </w:r>
    </w:p>
  </w:endnote>
  <w:endnote w:type="continuationSeparator" w:id="0">
    <w:p w14:paraId="2C145C3C" w14:textId="77777777" w:rsidR="005919E6" w:rsidRDefault="005919E6" w:rsidP="0016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F248" w14:textId="77777777" w:rsidR="005919E6" w:rsidRDefault="005919E6" w:rsidP="0016369F">
      <w:pPr>
        <w:spacing w:after="0" w:line="240" w:lineRule="auto"/>
      </w:pPr>
      <w:r>
        <w:separator/>
      </w:r>
    </w:p>
  </w:footnote>
  <w:footnote w:type="continuationSeparator" w:id="0">
    <w:p w14:paraId="1EEAAE2C" w14:textId="77777777" w:rsidR="005919E6" w:rsidRDefault="005919E6" w:rsidP="0016369F">
      <w:pPr>
        <w:spacing w:after="0" w:line="240" w:lineRule="auto"/>
      </w:pPr>
      <w:r>
        <w:continuationSeparator/>
      </w:r>
    </w:p>
  </w:footnote>
  <w:footnote w:id="1">
    <w:p w14:paraId="730C20F1" w14:textId="5A0ED20C" w:rsidR="0016369F" w:rsidRDefault="0016369F" w:rsidP="00EF3A57">
      <w:pPr>
        <w:pStyle w:val="a6"/>
        <w:ind w:left="708" w:firstLine="0"/>
      </w:pPr>
      <w:r>
        <w:rPr>
          <w:rStyle w:val="a8"/>
        </w:rPr>
        <w:footnoteRef/>
      </w:r>
      <w:r>
        <w:t xml:space="preserve"> </w:t>
      </w:r>
      <w:r w:rsidRPr="0016369F">
        <w:t>https://pypi.org/project/npls/</w:t>
      </w:r>
    </w:p>
  </w:footnote>
  <w:footnote w:id="2">
    <w:p w14:paraId="67095E65" w14:textId="77777777" w:rsidR="004940FB" w:rsidRDefault="004940FB" w:rsidP="004940FB">
      <w:pPr>
        <w:pStyle w:val="a6"/>
        <w:ind w:left="708" w:firstLine="0"/>
      </w:pPr>
      <w:r>
        <w:rPr>
          <w:rStyle w:val="a8"/>
        </w:rPr>
        <w:footnoteRef/>
      </w:r>
      <w:r>
        <w:t xml:space="preserve"> </w:t>
      </w:r>
      <w:r w:rsidRPr="008B32EE">
        <w:t>https://pypi.org/project/signal-noise/</w:t>
      </w:r>
    </w:p>
  </w:footnote>
  <w:footnote w:id="3">
    <w:p w14:paraId="51EA4597" w14:textId="77777777" w:rsidR="004940FB" w:rsidRPr="0059052F" w:rsidRDefault="004940FB" w:rsidP="004940FB">
      <w:pPr>
        <w:pStyle w:val="a6"/>
      </w:pPr>
      <w:r>
        <w:rPr>
          <w:rStyle w:val="a8"/>
        </w:rPr>
        <w:footnoteRef/>
      </w:r>
      <w:r>
        <w:t xml:space="preserve"> </w:t>
      </w:r>
      <w:r w:rsidRPr="0059052F">
        <w:t>https://scikit-learn.org/stable/modules/generated/sklearn.model_selection.GridSearchCV.html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E4"/>
    <w:rsid w:val="00003534"/>
    <w:rsid w:val="000452E9"/>
    <w:rsid w:val="000540AC"/>
    <w:rsid w:val="000652D4"/>
    <w:rsid w:val="0009190E"/>
    <w:rsid w:val="000C5570"/>
    <w:rsid w:val="0016369F"/>
    <w:rsid w:val="00192D54"/>
    <w:rsid w:val="00195055"/>
    <w:rsid w:val="001C75CE"/>
    <w:rsid w:val="001E5FFC"/>
    <w:rsid w:val="001F5F4A"/>
    <w:rsid w:val="00200465"/>
    <w:rsid w:val="00203CBA"/>
    <w:rsid w:val="00265253"/>
    <w:rsid w:val="002E03EA"/>
    <w:rsid w:val="002F57D7"/>
    <w:rsid w:val="00333BBD"/>
    <w:rsid w:val="00343618"/>
    <w:rsid w:val="003A75E4"/>
    <w:rsid w:val="004547E1"/>
    <w:rsid w:val="004940FB"/>
    <w:rsid w:val="00536164"/>
    <w:rsid w:val="00537BA6"/>
    <w:rsid w:val="00576EB2"/>
    <w:rsid w:val="0059052F"/>
    <w:rsid w:val="005919E6"/>
    <w:rsid w:val="005A3BE1"/>
    <w:rsid w:val="005C0F08"/>
    <w:rsid w:val="00634ADC"/>
    <w:rsid w:val="00666D87"/>
    <w:rsid w:val="006A678C"/>
    <w:rsid w:val="006C3C92"/>
    <w:rsid w:val="007147EA"/>
    <w:rsid w:val="00740426"/>
    <w:rsid w:val="007A3C87"/>
    <w:rsid w:val="007D5482"/>
    <w:rsid w:val="007E5DE4"/>
    <w:rsid w:val="00813153"/>
    <w:rsid w:val="00891B48"/>
    <w:rsid w:val="008B26FD"/>
    <w:rsid w:val="008B32EE"/>
    <w:rsid w:val="008B3F1D"/>
    <w:rsid w:val="008B3FF6"/>
    <w:rsid w:val="008D19D2"/>
    <w:rsid w:val="008F541A"/>
    <w:rsid w:val="00907042"/>
    <w:rsid w:val="00981627"/>
    <w:rsid w:val="009B3EF8"/>
    <w:rsid w:val="009E2B19"/>
    <w:rsid w:val="00A22581"/>
    <w:rsid w:val="00A41D82"/>
    <w:rsid w:val="00A51014"/>
    <w:rsid w:val="00A97013"/>
    <w:rsid w:val="00AD0161"/>
    <w:rsid w:val="00AD232F"/>
    <w:rsid w:val="00B150ED"/>
    <w:rsid w:val="00B41216"/>
    <w:rsid w:val="00B504B9"/>
    <w:rsid w:val="00BA3FBC"/>
    <w:rsid w:val="00BB6930"/>
    <w:rsid w:val="00BC0399"/>
    <w:rsid w:val="00BC6261"/>
    <w:rsid w:val="00C64A88"/>
    <w:rsid w:val="00CB3DC6"/>
    <w:rsid w:val="00CE0918"/>
    <w:rsid w:val="00CE369A"/>
    <w:rsid w:val="00D72104"/>
    <w:rsid w:val="00DB7F6A"/>
    <w:rsid w:val="00E450BC"/>
    <w:rsid w:val="00E91804"/>
    <w:rsid w:val="00EC1390"/>
    <w:rsid w:val="00EF3A57"/>
    <w:rsid w:val="00F16E96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9446"/>
  <w15:docId w15:val="{BD524ECC-9551-43EC-98BC-DFBEC463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E4"/>
    <w:pPr>
      <w:spacing w:after="200" w:line="36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6369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6369F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6369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636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6369F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369F"/>
    <w:rPr>
      <w:vertAlign w:val="superscript"/>
    </w:rPr>
  </w:style>
  <w:style w:type="paragraph" w:styleId="a9">
    <w:name w:val="Bibliography"/>
    <w:basedOn w:val="a"/>
    <w:next w:val="a"/>
    <w:uiPriority w:val="37"/>
    <w:unhideWhenUsed/>
    <w:rsid w:val="002F57D7"/>
  </w:style>
  <w:style w:type="paragraph" w:customStyle="1" w:styleId="2">
    <w:name w:val="Обычный2"/>
    <w:basedOn w:val="a"/>
    <w:qFormat/>
    <w:rsid w:val="002F57D7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0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434E-3558-493F-9B38-97ED9DEC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Department of Chemistry, MSU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Ферубко</dc:creator>
  <cp:lastModifiedBy>Андрей Ферубко</cp:lastModifiedBy>
  <cp:revision>7</cp:revision>
  <dcterms:created xsi:type="dcterms:W3CDTF">2024-02-20T01:31:00Z</dcterms:created>
  <dcterms:modified xsi:type="dcterms:W3CDTF">2024-02-20T12:51:00Z</dcterms:modified>
</cp:coreProperties>
</file>