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21BF9" w14:textId="77777777" w:rsidR="00042724" w:rsidRPr="00042724" w:rsidRDefault="00042724" w:rsidP="000427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 w:rsidRPr="00042724">
        <w:rPr>
          <w:b/>
        </w:rPr>
        <w:t>Сенсорные поверхности для определения N- и O-cодержащих маркеров качества</w:t>
      </w:r>
    </w:p>
    <w:p w14:paraId="2A47DEC6" w14:textId="0E73E9D8" w:rsidR="00042724" w:rsidRPr="00042724" w:rsidRDefault="00042724" w:rsidP="000427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 w:rsidRPr="00042724">
        <w:rPr>
          <w:b/>
        </w:rPr>
        <w:t>нефтепродуктов методом комбинационного рассеяния</w:t>
      </w:r>
    </w:p>
    <w:p w14:paraId="223A1811" w14:textId="77777777" w:rsidR="00130241" w:rsidRDefault="00EB52F5" w:rsidP="000427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Лемеш </w:t>
      </w:r>
      <w:r w:rsidR="00EB1F49">
        <w:rPr>
          <w:b/>
          <w:i/>
          <w:color w:val="000000"/>
        </w:rPr>
        <w:t>И.А</w:t>
      </w:r>
      <w:r w:rsidR="00CD1CF7">
        <w:rPr>
          <w:b/>
          <w:i/>
          <w:color w:val="000000"/>
        </w:rPr>
        <w:t>.</w:t>
      </w:r>
      <w:r w:rsidR="00CE4DA2">
        <w:rPr>
          <w:b/>
          <w:i/>
          <w:color w:val="000000"/>
        </w:rPr>
        <w:t>, Самоделова М.В.</w:t>
      </w:r>
      <w:r>
        <w:rPr>
          <w:b/>
          <w:i/>
          <w:color w:val="000000"/>
        </w:rPr>
        <w:t xml:space="preserve">, </w:t>
      </w:r>
      <w:r w:rsidR="00CD1CF7">
        <w:rPr>
          <w:b/>
          <w:i/>
          <w:color w:val="000000"/>
        </w:rPr>
        <w:t>Капитанова О.О.</w:t>
      </w:r>
    </w:p>
    <w:p w14:paraId="29B9F841" w14:textId="77777777" w:rsidR="00130241" w:rsidRDefault="009172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3B172C">
        <w:rPr>
          <w:i/>
          <w:color w:val="000000"/>
        </w:rPr>
        <w:t>6</w:t>
      </w:r>
      <w:r w:rsidR="00EB1F49">
        <w:rPr>
          <w:i/>
          <w:color w:val="000000"/>
        </w:rPr>
        <w:t xml:space="preserve"> курс специалитета </w:t>
      </w:r>
    </w:p>
    <w:p w14:paraId="5E75924E" w14:textId="77777777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5F7A991E" w14:textId="77777777" w:rsidR="00130241" w:rsidRPr="00B11ACA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7D510B7B" w14:textId="77777777" w:rsidR="00C17840" w:rsidRPr="00465996" w:rsidRDefault="00EB1F49" w:rsidP="00C178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Style w:val="a8"/>
          <w:i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mail:</w:t>
      </w:r>
      <w:r w:rsidR="00EB52F5" w:rsidRPr="00EB52F5">
        <w:rPr>
          <w:i/>
        </w:rPr>
        <w:t xml:space="preserve"> </w:t>
      </w:r>
      <w:hyperlink r:id="rId6" w:history="1">
        <w:r w:rsidR="00EB52F5" w:rsidRPr="00005FFB">
          <w:rPr>
            <w:rStyle w:val="a8"/>
            <w:i/>
            <w:lang w:val="en-US"/>
          </w:rPr>
          <w:t>irinalem</w:t>
        </w:r>
        <w:r w:rsidR="00EB52F5" w:rsidRPr="00EB52F5">
          <w:rPr>
            <w:rStyle w:val="a8"/>
            <w:i/>
          </w:rPr>
          <w:t>25@</w:t>
        </w:r>
        <w:r w:rsidR="00EB52F5" w:rsidRPr="00005FFB">
          <w:rPr>
            <w:rStyle w:val="a8"/>
            <w:i/>
            <w:lang w:val="en-US"/>
          </w:rPr>
          <w:t>gmail</w:t>
        </w:r>
        <w:r w:rsidR="00EB52F5" w:rsidRPr="00EB52F5">
          <w:rPr>
            <w:rStyle w:val="a8"/>
            <w:i/>
          </w:rPr>
          <w:t>.</w:t>
        </w:r>
        <w:r w:rsidR="00EB52F5" w:rsidRPr="00005FFB">
          <w:rPr>
            <w:rStyle w:val="a8"/>
            <w:i/>
            <w:lang w:val="en-US"/>
          </w:rPr>
          <w:t>com</w:t>
        </w:r>
      </w:hyperlink>
    </w:p>
    <w:p w14:paraId="293269FE" w14:textId="77777777" w:rsidR="0091724B" w:rsidRDefault="0091724B" w:rsidP="00FA48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</w:p>
    <w:p w14:paraId="0E18F5F1" w14:textId="77777777" w:rsidR="00042724" w:rsidRDefault="008922E2" w:rsidP="002969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Важной задачей химического анализа является высокочувствительное определ</w:t>
      </w:r>
      <w:r w:rsidR="006C730F">
        <w:rPr>
          <w:color w:val="000000"/>
        </w:rPr>
        <w:t>ение экотоксикантов. Фенольные соединения, пиридин и его гомологи являются стойкими загрязнителями окружающей среды и маркерами качества нефтепродуктов. Эти соединения попадают в воду и атмосферный воздух при переработке нефтепродуктов, а также при использовании некачественн</w:t>
      </w:r>
      <w:r w:rsidR="0093091E">
        <w:rPr>
          <w:color w:val="000000"/>
        </w:rPr>
        <w:t>ого</w:t>
      </w:r>
      <w:r w:rsidR="006C730F">
        <w:rPr>
          <w:color w:val="000000"/>
        </w:rPr>
        <w:t xml:space="preserve"> топлив</w:t>
      </w:r>
      <w:r w:rsidR="0093091E">
        <w:rPr>
          <w:color w:val="000000"/>
        </w:rPr>
        <w:t>а</w:t>
      </w:r>
      <w:r w:rsidR="006C730F">
        <w:rPr>
          <w:color w:val="000000"/>
        </w:rPr>
        <w:t>. Спектроскопия гигантского комбинационного рассеяния</w:t>
      </w:r>
      <w:r w:rsidR="00840DDF">
        <w:rPr>
          <w:color w:val="000000"/>
        </w:rPr>
        <w:t xml:space="preserve"> в варианте резонансного и/или поверхностного усиления</w:t>
      </w:r>
      <w:r w:rsidR="006C730F">
        <w:rPr>
          <w:color w:val="000000"/>
        </w:rPr>
        <w:t xml:space="preserve"> – перспективный метод определения данных аналитов на уровне ПДК в разных средах и матрицах. </w:t>
      </w:r>
    </w:p>
    <w:p w14:paraId="6E9FC8A8" w14:textId="3820C13F" w:rsidR="006C730F" w:rsidRDefault="006C730F" w:rsidP="002969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Примером </w:t>
      </w:r>
      <w:r>
        <w:rPr>
          <w:color w:val="000000"/>
          <w:lang w:val="en-US"/>
        </w:rPr>
        <w:t>N</w:t>
      </w:r>
      <w:r w:rsidRPr="006C730F">
        <w:rPr>
          <w:color w:val="000000"/>
        </w:rPr>
        <w:t>-</w:t>
      </w:r>
      <w:r>
        <w:rPr>
          <w:color w:val="000000"/>
        </w:rPr>
        <w:t xml:space="preserve">содержащего маркера качества нефтепродуктов является пиридин. Это легколетучее соединение, </w:t>
      </w:r>
      <w:r w:rsidR="00105C63">
        <w:rPr>
          <w:color w:val="000000"/>
        </w:rPr>
        <w:t xml:space="preserve">поэтому для его определения необходимо использовать в составе сенсорного элемента подходящий сорбент. Показано, что добавка в </w:t>
      </w:r>
      <w:r w:rsidR="002D15E4">
        <w:rPr>
          <w:color w:val="000000"/>
        </w:rPr>
        <w:t xml:space="preserve">плазмонный </w:t>
      </w:r>
      <w:r w:rsidR="00105C63">
        <w:rPr>
          <w:color w:val="000000"/>
        </w:rPr>
        <w:t xml:space="preserve">сенсорный элемент оксида графена повышает стабильность сигнала, позволяет проводить воспроизводимый анализ </w:t>
      </w:r>
      <w:r w:rsidR="002D15E4">
        <w:rPr>
          <w:color w:val="000000"/>
        </w:rPr>
        <w:t xml:space="preserve">методом ГКР </w:t>
      </w:r>
      <w:r w:rsidR="00105C63">
        <w:rPr>
          <w:color w:val="000000"/>
        </w:rPr>
        <w:t>и определять пиридин на уровне 10мМ.</w:t>
      </w:r>
    </w:p>
    <w:p w14:paraId="7D25EF1F" w14:textId="6953DE61" w:rsidR="008E02D6" w:rsidRDefault="006439B5" w:rsidP="008E02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840DDF">
        <w:t>Фенольные соединения – О-содержащие маркеры качества нефтепроду</w:t>
      </w:r>
      <w:r w:rsidR="00840DDF" w:rsidRPr="00840DDF">
        <w:t xml:space="preserve">ктов – необходимо определять в различных средах: неводных </w:t>
      </w:r>
      <w:r w:rsidR="00F22960">
        <w:t xml:space="preserve">для контроля качества топлив </w:t>
      </w:r>
      <w:r w:rsidR="00840DDF" w:rsidRPr="00840DDF">
        <w:t>и водных</w:t>
      </w:r>
      <w:r w:rsidR="00F22960">
        <w:t xml:space="preserve"> для контроля качества строчных вод</w:t>
      </w:r>
      <w:r w:rsidR="00840DDF" w:rsidRPr="00840DDF">
        <w:t>.</w:t>
      </w:r>
      <w:r w:rsidR="002D15E4">
        <w:t xml:space="preserve"> </w:t>
      </w:r>
    </w:p>
    <w:p w14:paraId="58430F6B" w14:textId="1A414A4C" w:rsidR="00F22960" w:rsidRDefault="006439B5" w:rsidP="00E652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Предложена индикаторная система для определения фенольных соединений в неводных средах с помощью связывания их в комплексы с переносом заряда (КПЗ). Фенольные соединения являются π-донорами, в качестве π-акцепторного соединения был выбран </w:t>
      </w:r>
      <w:r>
        <w:rPr>
          <w:color w:val="000000"/>
        </w:rPr>
        <w:t xml:space="preserve">3-дихлоро-5,6-дициано-1,4-бензохинон (ДДХ). Были получены следующие окрашенные КПЗ (длины волн, характерные для максимумов поглощения комплексов): фенол:ДДХ – 562 нм, </w:t>
      </w:r>
      <w:r w:rsidRPr="00BA39AC">
        <w:rPr>
          <w:i/>
          <w:color w:val="000000"/>
          <w:lang w:val="en-US"/>
        </w:rPr>
        <w:t>m</w:t>
      </w:r>
      <w:r w:rsidRPr="00BA39AC">
        <w:rPr>
          <w:color w:val="000000"/>
        </w:rPr>
        <w:t>-</w:t>
      </w:r>
      <w:r>
        <w:rPr>
          <w:color w:val="000000"/>
        </w:rPr>
        <w:t>крезол:ДДХ</w:t>
      </w:r>
      <w:r>
        <w:t xml:space="preserve"> – </w:t>
      </w:r>
      <w:r w:rsidRPr="004C059B">
        <w:rPr>
          <w:color w:val="000000"/>
        </w:rPr>
        <w:t>588</w:t>
      </w:r>
      <w:r>
        <w:rPr>
          <w:color w:val="000000"/>
        </w:rPr>
        <w:t xml:space="preserve"> нм, </w:t>
      </w:r>
      <w:r w:rsidRPr="00BA39AC">
        <w:rPr>
          <w:i/>
          <w:color w:val="000000"/>
          <w:lang w:val="en-US"/>
        </w:rPr>
        <w:t>o</w:t>
      </w:r>
      <w:r w:rsidRPr="00BA39AC">
        <w:rPr>
          <w:color w:val="000000"/>
        </w:rPr>
        <w:t>-</w:t>
      </w:r>
      <w:r>
        <w:rPr>
          <w:color w:val="000000"/>
        </w:rPr>
        <w:t xml:space="preserve">крезол:ДДХ – 605 нм, 2,5-диметилфенол:ДДХ – </w:t>
      </w:r>
      <w:r w:rsidRPr="004C059B">
        <w:rPr>
          <w:color w:val="000000"/>
        </w:rPr>
        <w:t xml:space="preserve">637 </w:t>
      </w:r>
      <w:r>
        <w:rPr>
          <w:color w:val="000000"/>
        </w:rPr>
        <w:t xml:space="preserve">нм, 2,4-диметилфенол:ДДХ – </w:t>
      </w:r>
      <w:r w:rsidRPr="004C059B">
        <w:rPr>
          <w:color w:val="000000"/>
        </w:rPr>
        <w:t xml:space="preserve">666 </w:t>
      </w:r>
      <w:r>
        <w:rPr>
          <w:color w:val="000000"/>
        </w:rPr>
        <w:t xml:space="preserve">нм, </w:t>
      </w:r>
      <w:r w:rsidRPr="00DF7779">
        <w:rPr>
          <w:i/>
          <w:color w:val="000000"/>
          <w:lang w:val="en-US"/>
        </w:rPr>
        <w:t>p</w:t>
      </w:r>
      <w:r>
        <w:rPr>
          <w:color w:val="000000"/>
        </w:rPr>
        <w:t>-хлорфенол:ДДХ –</w:t>
      </w:r>
      <w:r w:rsidR="00C00B3F">
        <w:rPr>
          <w:color w:val="000000"/>
        </w:rPr>
        <w:t xml:space="preserve"> 588 нм.</w:t>
      </w:r>
      <w:r w:rsidR="00DB20AB">
        <w:rPr>
          <w:color w:val="000000"/>
        </w:rPr>
        <w:t xml:space="preserve"> Таким образом, максимум поглощения </w:t>
      </w:r>
      <w:r w:rsidR="0093091E">
        <w:rPr>
          <w:color w:val="000000"/>
        </w:rPr>
        <w:t xml:space="preserve">фенольных </w:t>
      </w:r>
      <w:r w:rsidR="00DB20AB">
        <w:rPr>
          <w:color w:val="000000"/>
        </w:rPr>
        <w:t xml:space="preserve">соединений сдвигается </w:t>
      </w:r>
      <w:r w:rsidR="0093091E">
        <w:rPr>
          <w:color w:val="000000"/>
        </w:rPr>
        <w:t xml:space="preserve">из </w:t>
      </w:r>
      <w:r w:rsidR="002D15E4">
        <w:rPr>
          <w:color w:val="000000"/>
        </w:rPr>
        <w:t xml:space="preserve">УФ </w:t>
      </w:r>
      <w:r w:rsidR="00DB20AB">
        <w:rPr>
          <w:color w:val="000000"/>
        </w:rPr>
        <w:t>в видимую область</w:t>
      </w:r>
      <w:r w:rsidR="0093091E">
        <w:rPr>
          <w:color w:val="000000"/>
        </w:rPr>
        <w:t xml:space="preserve"> спектра</w:t>
      </w:r>
      <w:r w:rsidR="00DB20AB">
        <w:rPr>
          <w:color w:val="000000"/>
        </w:rPr>
        <w:t>, что открывает возможность реализации дополнительного механизма усиления сигнала КР – резонансного.</w:t>
      </w:r>
      <w:r w:rsidR="00C00B3F">
        <w:rPr>
          <w:color w:val="000000"/>
        </w:rPr>
        <w:t xml:space="preserve"> В качестве сенсорных элементов использовались </w:t>
      </w:r>
      <w:r w:rsidR="00C00B3F" w:rsidRPr="00C56071">
        <w:t>поверхности на основе наночастиц серебра</w:t>
      </w:r>
      <w:r w:rsidR="0093091E" w:rsidRPr="00C56071">
        <w:t>, полученных пиролизным разложением серебряного комплекса</w:t>
      </w:r>
      <w:r w:rsidR="00C00B3F">
        <w:rPr>
          <w:color w:val="000000"/>
        </w:rPr>
        <w:t xml:space="preserve">. Описанная индикаторная система </w:t>
      </w:r>
      <w:r w:rsidR="008F7173">
        <w:rPr>
          <w:color w:val="000000"/>
        </w:rPr>
        <w:t xml:space="preserve">в совокупности с усиливающей поверхностью </w:t>
      </w:r>
      <w:r w:rsidR="00C00B3F">
        <w:rPr>
          <w:color w:val="000000"/>
        </w:rPr>
        <w:t>позволяет определять фенольные соединения методом спектроскопии ГКР</w:t>
      </w:r>
      <w:r w:rsidR="00DB20AB">
        <w:rPr>
          <w:color w:val="000000"/>
        </w:rPr>
        <w:t>, предел обнаружения составляет единицы нМ, линейный диапазон – (</w:t>
      </w:r>
      <w:r w:rsidR="00C00B3F">
        <w:rPr>
          <w:color w:val="000000"/>
        </w:rPr>
        <w:t>0,1</w:t>
      </w:r>
      <w:r w:rsidR="00DB20AB">
        <w:rPr>
          <w:color w:val="000000"/>
        </w:rPr>
        <w:t xml:space="preserve"> – 100,0)</w:t>
      </w:r>
      <w:r w:rsidR="00C00B3F">
        <w:rPr>
          <w:color w:val="000000"/>
        </w:rPr>
        <w:t xml:space="preserve"> мкМ в неводных средах. </w:t>
      </w:r>
      <w:r w:rsidR="007A64BD">
        <w:t>Недостатком данной индикаторной системы является малая устойчивость КПЗ</w:t>
      </w:r>
      <w:r w:rsidR="008E02D6">
        <w:t xml:space="preserve"> (</w:t>
      </w:r>
      <w:r w:rsidR="00F22960">
        <w:t xml:space="preserve">Константы устойчивости КПЗ фенольных соединений с ДДХ, определенные </w:t>
      </w:r>
      <w:r w:rsidR="00F22960">
        <w:rPr>
          <w:color w:val="000000"/>
        </w:rPr>
        <w:t>методом Фостера-Хаммика-Вардли с применением уравнения Бенеши-Гильдебранда</w:t>
      </w:r>
      <w:r w:rsidR="00F22960">
        <w:rPr>
          <w:color w:val="000000"/>
        </w:rPr>
        <w:t>, составили:</w:t>
      </w:r>
      <w:r w:rsidR="00F22960">
        <w:t xml:space="preserve"> </w:t>
      </w:r>
      <w:r w:rsidR="00F22960">
        <w:rPr>
          <w:color w:val="000000"/>
        </w:rPr>
        <w:t>фенол – 3,4 л/моль</w:t>
      </w:r>
      <w:r w:rsidR="00F22960">
        <w:rPr>
          <w:color w:val="000000"/>
        </w:rPr>
        <w:t xml:space="preserve">, </w:t>
      </w:r>
      <w:r w:rsidR="00F22960" w:rsidRPr="00BA39AC">
        <w:rPr>
          <w:i/>
          <w:color w:val="000000"/>
          <w:lang w:val="en-US"/>
        </w:rPr>
        <w:t>m</w:t>
      </w:r>
      <w:r w:rsidR="00F22960" w:rsidRPr="00BA39AC">
        <w:rPr>
          <w:color w:val="000000"/>
        </w:rPr>
        <w:t>-</w:t>
      </w:r>
      <w:r w:rsidR="00F22960">
        <w:rPr>
          <w:color w:val="000000"/>
        </w:rPr>
        <w:t>крезол</w:t>
      </w:r>
      <w:r w:rsidR="00F22960">
        <w:t xml:space="preserve"> – </w:t>
      </w:r>
      <w:r w:rsidR="00F22960">
        <w:rPr>
          <w:color w:val="000000"/>
        </w:rPr>
        <w:t>6,1 л/моль</w:t>
      </w:r>
      <w:r w:rsidR="00F22960">
        <w:rPr>
          <w:color w:val="000000"/>
        </w:rPr>
        <w:t xml:space="preserve">, </w:t>
      </w:r>
      <w:r w:rsidR="00F22960" w:rsidRPr="00BA39AC">
        <w:rPr>
          <w:i/>
          <w:color w:val="000000"/>
          <w:lang w:val="en-US"/>
        </w:rPr>
        <w:t>o</w:t>
      </w:r>
      <w:r w:rsidR="00F22960" w:rsidRPr="00BA39AC">
        <w:rPr>
          <w:color w:val="000000"/>
        </w:rPr>
        <w:t>-</w:t>
      </w:r>
      <w:r w:rsidR="00F22960">
        <w:rPr>
          <w:color w:val="000000"/>
        </w:rPr>
        <w:t xml:space="preserve">крезол: – </w:t>
      </w:r>
      <w:r w:rsidR="00F22960">
        <w:rPr>
          <w:color w:val="000000"/>
        </w:rPr>
        <w:t>4,0 л/моль, 2,5-диметилфенол</w:t>
      </w:r>
      <w:r w:rsidR="00F22960">
        <w:rPr>
          <w:color w:val="000000"/>
        </w:rPr>
        <w:t xml:space="preserve"> – </w:t>
      </w:r>
      <w:r w:rsidR="00F22960">
        <w:rPr>
          <w:color w:val="000000"/>
        </w:rPr>
        <w:t>6,4 л/моль</w:t>
      </w:r>
      <w:r w:rsidR="00F22960">
        <w:rPr>
          <w:color w:val="000000"/>
        </w:rPr>
        <w:t xml:space="preserve">, </w:t>
      </w:r>
      <w:r w:rsidR="00F22960" w:rsidRPr="00DF7779">
        <w:rPr>
          <w:i/>
          <w:color w:val="000000"/>
          <w:lang w:val="en-US"/>
        </w:rPr>
        <w:t>p</w:t>
      </w:r>
      <w:r w:rsidR="00F22960">
        <w:rPr>
          <w:color w:val="000000"/>
        </w:rPr>
        <w:t>-хлорфенол – 3,8 л/моль)</w:t>
      </w:r>
      <w:r w:rsidR="007A64BD">
        <w:t xml:space="preserve">. В связи с этим для проведения воспроизводимого анализа необходима быстрая пробоподготовка. </w:t>
      </w:r>
    </w:p>
    <w:p w14:paraId="5C6CEF2E" w14:textId="7ED54F77" w:rsidR="007A24FE" w:rsidRDefault="007A64BD" w:rsidP="007A24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>В рамках данной работы разрабатывается еще один подход к определению фенольных соединений</w:t>
      </w:r>
      <w:r w:rsidR="00F22960">
        <w:t xml:space="preserve"> – </w:t>
      </w:r>
      <w:r w:rsidR="008F7173">
        <w:t xml:space="preserve">в водных средах </w:t>
      </w:r>
      <w:r w:rsidR="00D7358B">
        <w:t>без использования КПЗ.</w:t>
      </w:r>
      <w:r>
        <w:t xml:space="preserve"> Для </w:t>
      </w:r>
      <w:r w:rsidR="008F7173">
        <w:t xml:space="preserve">усиления сигнала КР изготовлен </w:t>
      </w:r>
      <w:r>
        <w:t xml:space="preserve">сенсорный элемент на основе прочного </w:t>
      </w:r>
      <w:r>
        <w:t xml:space="preserve">полимерного </w:t>
      </w:r>
      <w:r>
        <w:t xml:space="preserve">материала, </w:t>
      </w:r>
      <w:r w:rsidR="008F7173">
        <w:t>покрытого</w:t>
      </w:r>
      <w:r w:rsidR="005B4103">
        <w:t xml:space="preserve"> </w:t>
      </w:r>
      <w:r>
        <w:t xml:space="preserve">природным </w:t>
      </w:r>
      <w:r w:rsidR="008F7173">
        <w:t xml:space="preserve">оптически-прозрачным </w:t>
      </w:r>
      <w:r>
        <w:t xml:space="preserve">полимером хитозаном, </w:t>
      </w:r>
      <w:r w:rsidR="008F7173">
        <w:t>на поверхности которого происходит</w:t>
      </w:r>
      <w:r>
        <w:t xml:space="preserve"> самосборка </w:t>
      </w:r>
      <w:r w:rsidR="008F7173">
        <w:t xml:space="preserve">и закрепление </w:t>
      </w:r>
      <w:r>
        <w:t xml:space="preserve">наночастиц серебра. </w:t>
      </w:r>
      <w:r w:rsidR="00D7358B">
        <w:t xml:space="preserve">Данные </w:t>
      </w:r>
      <w:r w:rsidR="00DB20AB">
        <w:t xml:space="preserve">сенсорные </w:t>
      </w:r>
      <w:r w:rsidR="00D7358B">
        <w:t xml:space="preserve">элементы демонстрируют коэффициент усиления по родамину </w:t>
      </w:r>
      <w:r w:rsidR="00D7358B" w:rsidRPr="00DB20AB">
        <w:t>6</w:t>
      </w:r>
      <w:r w:rsidR="008F7173">
        <w:t>Ж</w:t>
      </w:r>
      <w:r w:rsidR="00D7358B" w:rsidRPr="00DB20AB">
        <w:rPr>
          <w:i/>
          <w:color w:val="7030A0"/>
        </w:rPr>
        <w:t xml:space="preserve"> </w:t>
      </w:r>
      <w:r w:rsidR="008F7173" w:rsidRPr="00C56071">
        <w:t>1</w:t>
      </w:r>
      <w:r w:rsidR="008F7173" w:rsidRPr="00C56071">
        <w:sym w:font="Symbol" w:char="F0D7"/>
      </w:r>
      <w:r w:rsidR="00DB20AB" w:rsidRPr="00C56071">
        <w:t>10</w:t>
      </w:r>
      <w:r w:rsidR="00DB20AB" w:rsidRPr="00C56071">
        <w:rPr>
          <w:vertAlign w:val="superscript"/>
        </w:rPr>
        <w:t>5</w:t>
      </w:r>
      <w:r w:rsidR="00DB20AB" w:rsidRPr="00C56071">
        <w:t>.</w:t>
      </w:r>
      <w:r w:rsidR="00DB20AB">
        <w:t xml:space="preserve"> </w:t>
      </w:r>
      <w:r w:rsidR="00DB20AB" w:rsidRPr="00E65243">
        <w:rPr>
          <w:color w:val="000000" w:themeColor="text1"/>
        </w:rPr>
        <w:t xml:space="preserve">Использование </w:t>
      </w:r>
      <w:r w:rsidR="008F7173" w:rsidRPr="00E65243">
        <w:rPr>
          <w:color w:val="000000" w:themeColor="text1"/>
        </w:rPr>
        <w:t xml:space="preserve">такого </w:t>
      </w:r>
      <w:r w:rsidR="00DB20AB" w:rsidRPr="00E65243">
        <w:rPr>
          <w:color w:val="000000" w:themeColor="text1"/>
        </w:rPr>
        <w:t>подхода позволяет определять фенольные соедине</w:t>
      </w:r>
      <w:r w:rsidR="00E65243">
        <w:rPr>
          <w:color w:val="000000" w:themeColor="text1"/>
        </w:rPr>
        <w:t xml:space="preserve">ния в водных средах на уровне </w:t>
      </w:r>
      <w:r w:rsidR="00DB20AB" w:rsidRPr="00E65243">
        <w:rPr>
          <w:color w:val="000000" w:themeColor="text1"/>
        </w:rPr>
        <w:t>1 мкМ без</w:t>
      </w:r>
      <w:r w:rsidR="00C56071" w:rsidRPr="00E65243">
        <w:rPr>
          <w:color w:val="000000" w:themeColor="text1"/>
        </w:rPr>
        <w:t xml:space="preserve"> </w:t>
      </w:r>
      <w:r w:rsidR="00DB20AB" w:rsidRPr="00E65243">
        <w:rPr>
          <w:color w:val="000000" w:themeColor="text1"/>
        </w:rPr>
        <w:t>связывания в комплексы.</w:t>
      </w:r>
      <w:r w:rsidR="007A24FE" w:rsidRPr="00E65243">
        <w:rPr>
          <w:color w:val="000000" w:themeColor="text1"/>
        </w:rPr>
        <w:t xml:space="preserve"> </w:t>
      </w:r>
      <w:bookmarkStart w:id="0" w:name="_GoBack"/>
      <w:bookmarkEnd w:id="0"/>
    </w:p>
    <w:sectPr w:rsidR="007A24F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2A66D10" w16cex:dateUtc="2024-02-16T14:26:00Z"/>
  <w16cex:commentExtensible w16cex:durableId="7BBD9431" w16cex:dateUtc="2024-02-16T14:58:00Z"/>
  <w16cex:commentExtensible w16cex:durableId="47A3A6FE" w16cex:dateUtc="2024-02-16T15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607A92" w16cid:durableId="72A66D10"/>
  <w16cid:commentId w16cid:paraId="2ECBAB0E" w16cid:durableId="7BBD9431"/>
  <w16cid:commentId w16cid:paraId="75B3F93D" w16cid:durableId="47A3A6F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2A14C9E"/>
    <w:multiLevelType w:val="hybridMultilevel"/>
    <w:tmpl w:val="44141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30BE1"/>
    <w:rsid w:val="00042724"/>
    <w:rsid w:val="00057C68"/>
    <w:rsid w:val="00063966"/>
    <w:rsid w:val="00086081"/>
    <w:rsid w:val="00101A1C"/>
    <w:rsid w:val="00105C63"/>
    <w:rsid w:val="00106375"/>
    <w:rsid w:val="00116478"/>
    <w:rsid w:val="00130241"/>
    <w:rsid w:val="001E61C2"/>
    <w:rsid w:val="001F0493"/>
    <w:rsid w:val="002264EE"/>
    <w:rsid w:val="0023307C"/>
    <w:rsid w:val="00250FE6"/>
    <w:rsid w:val="00267470"/>
    <w:rsid w:val="002969A1"/>
    <w:rsid w:val="002B662A"/>
    <w:rsid w:val="002D15E4"/>
    <w:rsid w:val="003152E3"/>
    <w:rsid w:val="0036014D"/>
    <w:rsid w:val="00361703"/>
    <w:rsid w:val="00391C38"/>
    <w:rsid w:val="003B172C"/>
    <w:rsid w:val="003B76D6"/>
    <w:rsid w:val="00465996"/>
    <w:rsid w:val="00490F81"/>
    <w:rsid w:val="004A26A3"/>
    <w:rsid w:val="004C059B"/>
    <w:rsid w:val="004C625F"/>
    <w:rsid w:val="004E6D73"/>
    <w:rsid w:val="004F0EDF"/>
    <w:rsid w:val="004F5394"/>
    <w:rsid w:val="00522BF1"/>
    <w:rsid w:val="00533F27"/>
    <w:rsid w:val="0057756A"/>
    <w:rsid w:val="00590166"/>
    <w:rsid w:val="005B4103"/>
    <w:rsid w:val="006439B5"/>
    <w:rsid w:val="00660783"/>
    <w:rsid w:val="00691F19"/>
    <w:rsid w:val="006C730F"/>
    <w:rsid w:val="006F7A19"/>
    <w:rsid w:val="00775389"/>
    <w:rsid w:val="00797838"/>
    <w:rsid w:val="007A24FE"/>
    <w:rsid w:val="007A64BD"/>
    <w:rsid w:val="007C2F60"/>
    <w:rsid w:val="007C36D8"/>
    <w:rsid w:val="007C7F56"/>
    <w:rsid w:val="007D0B38"/>
    <w:rsid w:val="007E6B3E"/>
    <w:rsid w:val="007F2744"/>
    <w:rsid w:val="007F647F"/>
    <w:rsid w:val="00840DDF"/>
    <w:rsid w:val="008724DE"/>
    <w:rsid w:val="008922E2"/>
    <w:rsid w:val="008931BE"/>
    <w:rsid w:val="008A4021"/>
    <w:rsid w:val="008E02D6"/>
    <w:rsid w:val="008F7173"/>
    <w:rsid w:val="0091724B"/>
    <w:rsid w:val="00921D45"/>
    <w:rsid w:val="0093091E"/>
    <w:rsid w:val="009348E2"/>
    <w:rsid w:val="00937C69"/>
    <w:rsid w:val="00950681"/>
    <w:rsid w:val="009763C4"/>
    <w:rsid w:val="009938EE"/>
    <w:rsid w:val="009A66DB"/>
    <w:rsid w:val="009B2F80"/>
    <w:rsid w:val="009F3380"/>
    <w:rsid w:val="00A013A1"/>
    <w:rsid w:val="00A02163"/>
    <w:rsid w:val="00A077C7"/>
    <w:rsid w:val="00A24AD3"/>
    <w:rsid w:val="00A25C51"/>
    <w:rsid w:val="00A314FE"/>
    <w:rsid w:val="00A447ED"/>
    <w:rsid w:val="00A729D9"/>
    <w:rsid w:val="00AB1CE9"/>
    <w:rsid w:val="00AD033C"/>
    <w:rsid w:val="00B11ACA"/>
    <w:rsid w:val="00B75A9C"/>
    <w:rsid w:val="00BA39AC"/>
    <w:rsid w:val="00BF36F8"/>
    <w:rsid w:val="00BF4622"/>
    <w:rsid w:val="00C00B3F"/>
    <w:rsid w:val="00C04ADB"/>
    <w:rsid w:val="00C06D36"/>
    <w:rsid w:val="00C17840"/>
    <w:rsid w:val="00C51A9D"/>
    <w:rsid w:val="00C52891"/>
    <w:rsid w:val="00C56071"/>
    <w:rsid w:val="00C634E1"/>
    <w:rsid w:val="00CD1CF7"/>
    <w:rsid w:val="00CD36C8"/>
    <w:rsid w:val="00CE43E1"/>
    <w:rsid w:val="00CE4DA2"/>
    <w:rsid w:val="00CF23EF"/>
    <w:rsid w:val="00D1656C"/>
    <w:rsid w:val="00D42542"/>
    <w:rsid w:val="00D7358B"/>
    <w:rsid w:val="00D8121C"/>
    <w:rsid w:val="00D93618"/>
    <w:rsid w:val="00DB20AB"/>
    <w:rsid w:val="00DF7779"/>
    <w:rsid w:val="00E07E82"/>
    <w:rsid w:val="00E22189"/>
    <w:rsid w:val="00E24E13"/>
    <w:rsid w:val="00E55B83"/>
    <w:rsid w:val="00E626C6"/>
    <w:rsid w:val="00E65243"/>
    <w:rsid w:val="00E65D2F"/>
    <w:rsid w:val="00E7627A"/>
    <w:rsid w:val="00EB1F49"/>
    <w:rsid w:val="00EB52F5"/>
    <w:rsid w:val="00ED116D"/>
    <w:rsid w:val="00F1600C"/>
    <w:rsid w:val="00F22960"/>
    <w:rsid w:val="00F840BA"/>
    <w:rsid w:val="00F865B3"/>
    <w:rsid w:val="00FA48EE"/>
    <w:rsid w:val="00FB1509"/>
    <w:rsid w:val="00FE021B"/>
    <w:rsid w:val="00FF1207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F92BF"/>
  <w15:docId w15:val="{45B1B4C5-6137-444C-9B47-1A36AA59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Название1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List Paragraph"/>
    <w:basedOn w:val="a"/>
    <w:link w:val="a5"/>
    <w:uiPriority w:val="34"/>
    <w:qFormat/>
    <w:rsid w:val="00106375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4A26A3"/>
  </w:style>
  <w:style w:type="character" w:styleId="a6">
    <w:name w:val="Placeholder Text"/>
    <w:uiPriority w:val="99"/>
    <w:semiHidden/>
    <w:rsid w:val="00E22189"/>
    <w:rPr>
      <w:color w:val="808080"/>
    </w:rPr>
  </w:style>
  <w:style w:type="paragraph" w:styleId="a7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8">
    <w:name w:val="Hyperlink"/>
    <w:uiPriority w:val="99"/>
    <w:unhideWhenUsed/>
    <w:rsid w:val="00F865B3"/>
    <w:rPr>
      <w:color w:val="0000FF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4C059B"/>
    <w:pPr>
      <w:spacing w:before="100" w:beforeAutospacing="1" w:after="100" w:afterAutospacing="1"/>
    </w:pPr>
  </w:style>
  <w:style w:type="character" w:styleId="aa">
    <w:name w:val="annotation reference"/>
    <w:uiPriority w:val="99"/>
    <w:semiHidden/>
    <w:unhideWhenUsed/>
    <w:rsid w:val="00A077C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077C7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A077C7"/>
    <w:rPr>
      <w:rFonts w:ascii="Times New Roman" w:eastAsia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077C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A077C7"/>
    <w:rPr>
      <w:rFonts w:ascii="Times New Roman" w:eastAsia="Times New Roman" w:hAnsi="Times New Roman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A077C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A077C7"/>
    <w:rPr>
      <w:rFonts w:ascii="Tahoma" w:eastAsia="Times New Roman" w:hAnsi="Tahoma" w:cs="Tahoma"/>
      <w:sz w:val="16"/>
      <w:szCs w:val="16"/>
    </w:rPr>
  </w:style>
  <w:style w:type="paragraph" w:styleId="af1">
    <w:name w:val="Revision"/>
    <w:hidden/>
    <w:uiPriority w:val="99"/>
    <w:semiHidden/>
    <w:rsid w:val="002D15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rinalem25@gmail.com" TargetMode="Externa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67802C-41F5-460D-9BA2-D108F900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3668</CharactersWithSpaces>
  <SharedDoc>false</SharedDoc>
  <HLinks>
    <vt:vector size="6" baseType="variant">
      <vt:variant>
        <vt:i4>5308523</vt:i4>
      </vt:variant>
      <vt:variant>
        <vt:i4>0</vt:i4>
      </vt:variant>
      <vt:variant>
        <vt:i4>0</vt:i4>
      </vt:variant>
      <vt:variant>
        <vt:i4>5</vt:i4>
      </vt:variant>
      <vt:variant>
        <vt:lpwstr>mailto:irinalem25@gmail.com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Lemesh Irina</dc:creator>
  <cp:lastModifiedBy>Lemesh Irina</cp:lastModifiedBy>
  <cp:revision>2</cp:revision>
  <dcterms:created xsi:type="dcterms:W3CDTF">2024-02-16T20:49:00Z</dcterms:created>
  <dcterms:modified xsi:type="dcterms:W3CDTF">2024-02-16T20:49:00Z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