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78FDBE" w:rsidR="00130241" w:rsidRDefault="00013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58887423"/>
      <w:bookmarkEnd w:id="0"/>
      <w:r>
        <w:rPr>
          <w:b/>
          <w:color w:val="000000"/>
        </w:rPr>
        <w:t>Люминесцен</w:t>
      </w:r>
      <w:r w:rsidR="00F87B5E">
        <w:rPr>
          <w:b/>
          <w:color w:val="000000"/>
        </w:rPr>
        <w:t>тные свойства</w:t>
      </w:r>
      <w:r>
        <w:rPr>
          <w:b/>
          <w:color w:val="000000"/>
        </w:rPr>
        <w:t xml:space="preserve"> макромолекулярных металл-полимерных комплексов европия на основе поли-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-винилпирролидона</w:t>
      </w:r>
    </w:p>
    <w:p w14:paraId="07AB4AED" w14:textId="5831AE66" w:rsidR="00F87B5E" w:rsidRPr="00F87B5E" w:rsidRDefault="00F87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F87B5E">
        <w:rPr>
          <w:b/>
          <w:i/>
          <w:iCs/>
          <w:color w:val="000000"/>
        </w:rPr>
        <w:t>Жидоморова К.А.</w:t>
      </w:r>
      <w:r w:rsidRPr="00F87B5E">
        <w:rPr>
          <w:b/>
          <w:i/>
          <w:iCs/>
          <w:color w:val="000000"/>
          <w:vertAlign w:val="superscript"/>
        </w:rPr>
        <w:t>1</w:t>
      </w:r>
      <w:r w:rsidRPr="00F87B5E">
        <w:rPr>
          <w:b/>
          <w:i/>
          <w:iCs/>
          <w:color w:val="000000"/>
        </w:rPr>
        <w:t>, Еремин А.В.</w:t>
      </w:r>
      <w:r w:rsidRPr="00F87B5E">
        <w:rPr>
          <w:b/>
          <w:i/>
          <w:iCs/>
          <w:color w:val="000000"/>
          <w:vertAlign w:val="superscript"/>
        </w:rPr>
        <w:t>2</w:t>
      </w:r>
    </w:p>
    <w:p w14:paraId="2181A733" w14:textId="05F80DB9" w:rsidR="00D82145" w:rsidRPr="00D82145" w:rsidRDefault="00F87B5E" w:rsidP="00D82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F87B5E">
        <w:rPr>
          <w:i/>
          <w:iCs/>
          <w:color w:val="000000"/>
        </w:rPr>
        <w:t>Студент, 4 курс бакалавриата</w:t>
      </w:r>
    </w:p>
    <w:p w14:paraId="751857BE" w14:textId="77777777" w:rsidR="00D82145" w:rsidRPr="00D82145" w:rsidRDefault="00D82145" w:rsidP="00D82145">
      <w:pPr>
        <w:jc w:val="center"/>
        <w:rPr>
          <w:i/>
          <w:iCs/>
        </w:rPr>
      </w:pPr>
      <w:r w:rsidRPr="00D82145">
        <w:rPr>
          <w:i/>
          <w:iCs/>
          <w:vertAlign w:val="superscript"/>
        </w:rPr>
        <w:t>1</w:t>
      </w:r>
      <w:r w:rsidRPr="00D82145">
        <w:rPr>
          <w:i/>
          <w:iCs/>
        </w:rPr>
        <w:t>Санкт-Петербургский государственный технологический институт (технический университет),г. Санкт-Петербург, Россия</w:t>
      </w:r>
    </w:p>
    <w:p w14:paraId="00000007" w14:textId="41EAFCB3" w:rsidR="00130241" w:rsidRDefault="00D82145" w:rsidP="00D82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82145">
        <w:rPr>
          <w:i/>
          <w:iCs/>
          <w:vertAlign w:val="superscript"/>
        </w:rPr>
        <w:t>2</w:t>
      </w:r>
      <w:r w:rsidRPr="00D82145">
        <w:rPr>
          <w:i/>
          <w:iCs/>
        </w:rPr>
        <w:t>Институт высокомолекулярных соединений НИЦ КИ, г. Санкт-Петербург, Россия</w:t>
      </w:r>
    </w:p>
    <w:p w14:paraId="1ADA4293" w14:textId="1DBD00CE" w:rsidR="00CD00B1" w:rsidRDefault="00EB1F49" w:rsidP="00D82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iCs/>
          <w:lang w:val="en-US"/>
        </w:rPr>
      </w:pPr>
      <w:r w:rsidRPr="00D82145">
        <w:rPr>
          <w:i/>
          <w:color w:val="000000"/>
        </w:rPr>
        <w:t>E</w:t>
      </w:r>
      <w:r w:rsidR="003B76D6" w:rsidRPr="00D82145">
        <w:rPr>
          <w:i/>
          <w:color w:val="000000"/>
        </w:rPr>
        <w:t>-</w:t>
      </w:r>
      <w:r w:rsidRPr="00D82145">
        <w:rPr>
          <w:i/>
          <w:color w:val="000000"/>
        </w:rPr>
        <w:t>mail:</w:t>
      </w:r>
      <w:r w:rsidR="00D82145" w:rsidRPr="00D82145">
        <w:t xml:space="preserve"> </w:t>
      </w:r>
      <w:hyperlink r:id="rId6" w:history="1">
        <w:r w:rsidR="00D82145" w:rsidRPr="00D82145">
          <w:rPr>
            <w:rStyle w:val="a9"/>
            <w:i/>
            <w:iCs/>
            <w:lang w:val="en-US"/>
          </w:rPr>
          <w:t>zhidomorovak</w:t>
        </w:r>
        <w:r w:rsidR="00D82145" w:rsidRPr="00D82145">
          <w:rPr>
            <w:rStyle w:val="a9"/>
            <w:i/>
            <w:iCs/>
          </w:rPr>
          <w:t>@</w:t>
        </w:r>
        <w:r w:rsidR="00D82145" w:rsidRPr="00D82145">
          <w:rPr>
            <w:rStyle w:val="a9"/>
            <w:i/>
            <w:iCs/>
            <w:lang w:val="en-US"/>
          </w:rPr>
          <w:t>gmail</w:t>
        </w:r>
        <w:r w:rsidR="00D82145" w:rsidRPr="00D82145">
          <w:rPr>
            <w:rStyle w:val="a9"/>
            <w:i/>
            <w:iCs/>
          </w:rPr>
          <w:t>.</w:t>
        </w:r>
        <w:r w:rsidR="00D82145" w:rsidRPr="00D82145">
          <w:rPr>
            <w:rStyle w:val="a9"/>
            <w:i/>
            <w:iCs/>
            <w:lang w:val="en-US"/>
          </w:rPr>
          <w:t>com</w:t>
        </w:r>
      </w:hyperlink>
    </w:p>
    <w:p w14:paraId="6796E948" w14:textId="6E3D01BB" w:rsidR="0022069A" w:rsidRDefault="00195292" w:rsidP="00D82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lang w:eastAsia="en-US"/>
        </w:rPr>
      </w:pPr>
      <w:r>
        <w:rPr>
          <w:color w:val="000000"/>
        </w:rPr>
        <w:t xml:space="preserve">Введение комплексов редкоземельных элементов в полимерную матрицу, образуя металл-полимерные комплексы (МПК), позволяет получать материалы, обладающие комбинацией важных </w:t>
      </w:r>
      <w:r w:rsidR="005278B9">
        <w:rPr>
          <w:color w:val="000000"/>
        </w:rPr>
        <w:t>свойств как</w:t>
      </w:r>
      <w:r>
        <w:rPr>
          <w:color w:val="000000"/>
        </w:rPr>
        <w:t xml:space="preserve"> полимера</w:t>
      </w:r>
      <w:r w:rsidR="005278B9">
        <w:rPr>
          <w:color w:val="000000"/>
        </w:rPr>
        <w:t>, так</w:t>
      </w:r>
      <w:r>
        <w:rPr>
          <w:color w:val="000000"/>
        </w:rPr>
        <w:t xml:space="preserve"> и комплекса металла</w:t>
      </w:r>
      <w:r w:rsidRPr="0019529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Настоящая </w:t>
      </w:r>
      <w:r w:rsidR="005278B9">
        <w:rPr>
          <w:rFonts w:eastAsia="Calibri"/>
          <w:lang w:eastAsia="en-US"/>
        </w:rPr>
        <w:t>работа посвящена исследованию люминесцен</w:t>
      </w:r>
      <w:r w:rsidR="00CB051A">
        <w:rPr>
          <w:rFonts w:eastAsia="Calibri"/>
          <w:lang w:eastAsia="en-US"/>
        </w:rPr>
        <w:t>ции</w:t>
      </w:r>
      <w:r w:rsidR="005278B9">
        <w:rPr>
          <w:rFonts w:eastAsia="Calibri"/>
          <w:lang w:eastAsia="en-US"/>
        </w:rPr>
        <w:t xml:space="preserve"> и определению квантового выхода </w:t>
      </w:r>
      <w:r w:rsidR="005278B9" w:rsidRPr="005278B9">
        <w:rPr>
          <w:rFonts w:eastAsia="Calibri"/>
          <w:lang w:eastAsia="en-US"/>
        </w:rPr>
        <w:t>МПК европия [</w:t>
      </w:r>
      <w:r w:rsidR="005278B9" w:rsidRPr="005278B9">
        <w:rPr>
          <w:rFonts w:eastAsia="Calibri"/>
          <w:lang w:val="en-US" w:eastAsia="en-US"/>
        </w:rPr>
        <w:t>Eu</w:t>
      </w:r>
      <w:r w:rsidR="005278B9" w:rsidRPr="005278B9">
        <w:rPr>
          <w:rFonts w:eastAsia="Calibri"/>
          <w:lang w:eastAsia="en-US"/>
        </w:rPr>
        <w:t>(</w:t>
      </w:r>
      <w:r w:rsidR="005278B9" w:rsidRPr="005278B9">
        <w:rPr>
          <w:rFonts w:eastAsia="Calibri"/>
          <w:lang w:val="en-US" w:eastAsia="en-US"/>
        </w:rPr>
        <w:t>Phen</w:t>
      </w:r>
      <w:r w:rsidR="005278B9" w:rsidRPr="005278B9">
        <w:rPr>
          <w:rFonts w:eastAsia="Calibri"/>
          <w:lang w:eastAsia="en-US"/>
        </w:rPr>
        <w:t>)</w:t>
      </w:r>
      <w:r w:rsidR="005278B9" w:rsidRPr="005278B9">
        <w:rPr>
          <w:rFonts w:eastAsia="Calibri"/>
          <w:vertAlign w:val="subscript"/>
          <w:lang w:eastAsia="en-US"/>
        </w:rPr>
        <w:t>2</w:t>
      </w:r>
      <w:r w:rsidR="005278B9" w:rsidRPr="005278B9">
        <w:rPr>
          <w:rFonts w:eastAsia="Calibri"/>
          <w:lang w:eastAsia="en-US"/>
        </w:rPr>
        <w:t>]</w:t>
      </w:r>
      <w:r w:rsidR="005278B9" w:rsidRPr="005278B9">
        <w:rPr>
          <w:rFonts w:eastAsia="Calibri"/>
          <w:vertAlign w:val="superscript"/>
          <w:lang w:eastAsia="en-US"/>
        </w:rPr>
        <w:t>3+</w:t>
      </w:r>
      <w:r w:rsidR="005278B9" w:rsidRPr="005278B9">
        <w:rPr>
          <w:rFonts w:eastAsia="Calibri"/>
          <w:vertAlign w:val="subscript"/>
          <w:lang w:eastAsia="en-US"/>
        </w:rPr>
        <w:t xml:space="preserve"> </w:t>
      </w:r>
      <w:r w:rsidR="005278B9" w:rsidRPr="005278B9">
        <w:rPr>
          <w:rFonts w:eastAsia="Calibri"/>
          <w:lang w:eastAsia="en-US"/>
        </w:rPr>
        <w:t>с полимерами производными поли-</w:t>
      </w:r>
      <w:r w:rsidR="005278B9" w:rsidRPr="005278B9">
        <w:rPr>
          <w:rFonts w:eastAsia="Calibri"/>
          <w:i/>
          <w:lang w:val="en-US" w:eastAsia="en-US"/>
        </w:rPr>
        <w:t>N</w:t>
      </w:r>
      <w:r w:rsidR="005278B9" w:rsidRPr="005278B9">
        <w:rPr>
          <w:rFonts w:eastAsia="Calibri"/>
          <w:lang w:eastAsia="en-US"/>
        </w:rPr>
        <w:t>-винилпирролидона (ПВП): гидролизованным ПВП</w:t>
      </w:r>
      <w:r w:rsidR="000D1DA1">
        <w:rPr>
          <w:rFonts w:eastAsia="Calibri"/>
          <w:lang w:eastAsia="en-US"/>
        </w:rPr>
        <w:t xml:space="preserve"> (</w:t>
      </w:r>
      <w:r w:rsidR="000D1DA1" w:rsidRPr="000D1DA1">
        <w:rPr>
          <w:lang w:val="en-US"/>
        </w:rPr>
        <w:t>Eu</w:t>
      </w:r>
      <w:r w:rsidR="000D1DA1" w:rsidRPr="000D1DA1">
        <w:t>(</w:t>
      </w:r>
      <w:r w:rsidR="000D1DA1" w:rsidRPr="000D1DA1">
        <w:rPr>
          <w:lang w:val="en-US"/>
        </w:rPr>
        <w:t>Phen</w:t>
      </w:r>
      <w:r w:rsidR="000D1DA1" w:rsidRPr="000D1DA1">
        <w:t>)</w:t>
      </w:r>
      <w:r w:rsidR="000D1DA1" w:rsidRPr="000D1DA1">
        <w:rPr>
          <w:vertAlign w:val="subscript"/>
        </w:rPr>
        <w:t>2</w:t>
      </w:r>
      <w:r w:rsidR="000D1DA1" w:rsidRPr="000D1DA1">
        <w:t>-</w:t>
      </w:r>
      <w:r w:rsidR="000D1DA1" w:rsidRPr="000D1DA1">
        <w:rPr>
          <w:lang w:val="en-US"/>
        </w:rPr>
        <w:t>HPVP</w:t>
      </w:r>
      <w:r w:rsidR="000D1DA1">
        <w:rPr>
          <w:rFonts w:eastAsia="Calibri"/>
          <w:lang w:eastAsia="en-US"/>
        </w:rPr>
        <w:t>)</w:t>
      </w:r>
      <w:r w:rsidR="00A30727">
        <w:rPr>
          <w:rFonts w:eastAsia="Calibri"/>
          <w:lang w:eastAsia="en-US"/>
        </w:rPr>
        <w:t xml:space="preserve">, содержащим 5% </w:t>
      </w:r>
      <w:r w:rsidR="00A30727" w:rsidRPr="005278B9">
        <w:rPr>
          <w:rFonts w:eastAsia="Calibri"/>
          <w:lang w:eastAsia="en-US"/>
        </w:rPr>
        <w:t>[</w:t>
      </w:r>
      <w:r w:rsidR="00A30727" w:rsidRPr="005278B9">
        <w:rPr>
          <w:rFonts w:eastAsia="Calibri"/>
          <w:lang w:val="en-US" w:eastAsia="en-US"/>
        </w:rPr>
        <w:t>Eu</w:t>
      </w:r>
      <w:r w:rsidR="00A30727" w:rsidRPr="005278B9">
        <w:rPr>
          <w:rFonts w:eastAsia="Calibri"/>
          <w:lang w:eastAsia="en-US"/>
        </w:rPr>
        <w:t>(</w:t>
      </w:r>
      <w:r w:rsidR="00A30727" w:rsidRPr="005278B9">
        <w:rPr>
          <w:rFonts w:eastAsia="Calibri"/>
          <w:lang w:val="en-US" w:eastAsia="en-US"/>
        </w:rPr>
        <w:t>Phen</w:t>
      </w:r>
      <w:r w:rsidR="00A30727" w:rsidRPr="005278B9">
        <w:rPr>
          <w:rFonts w:eastAsia="Calibri"/>
          <w:lang w:eastAsia="en-US"/>
        </w:rPr>
        <w:t>)</w:t>
      </w:r>
      <w:r w:rsidR="00A30727" w:rsidRPr="005278B9">
        <w:rPr>
          <w:rFonts w:eastAsia="Calibri"/>
          <w:vertAlign w:val="subscript"/>
          <w:lang w:eastAsia="en-US"/>
        </w:rPr>
        <w:t>2</w:t>
      </w:r>
      <w:r w:rsidR="00A30727" w:rsidRPr="005278B9">
        <w:rPr>
          <w:rFonts w:eastAsia="Calibri"/>
          <w:lang w:eastAsia="en-US"/>
        </w:rPr>
        <w:t>]</w:t>
      </w:r>
      <w:r w:rsidR="00A30727" w:rsidRPr="005278B9">
        <w:rPr>
          <w:rFonts w:eastAsia="Calibri"/>
          <w:vertAlign w:val="superscript"/>
          <w:lang w:eastAsia="en-US"/>
        </w:rPr>
        <w:t>3+</w:t>
      </w:r>
      <w:r w:rsidR="005278B9" w:rsidRPr="005278B9">
        <w:rPr>
          <w:rFonts w:eastAsia="Calibri"/>
          <w:lang w:eastAsia="en-US"/>
        </w:rPr>
        <w:t xml:space="preserve">, сополимером </w:t>
      </w:r>
      <w:r w:rsidR="005278B9" w:rsidRPr="005278B9">
        <w:rPr>
          <w:rFonts w:eastAsia="Calibri"/>
          <w:i/>
          <w:lang w:val="en-US" w:eastAsia="en-US"/>
        </w:rPr>
        <w:t>N</w:t>
      </w:r>
      <w:r w:rsidR="005278B9" w:rsidRPr="005278B9">
        <w:rPr>
          <w:rFonts w:eastAsia="Calibri"/>
          <w:lang w:eastAsia="en-US"/>
        </w:rPr>
        <w:noBreakHyphen/>
        <w:t>винилпирролидона и кротоновой кислоты</w:t>
      </w:r>
      <w:r w:rsidR="000D1DA1" w:rsidRPr="000D1DA1">
        <w:rPr>
          <w:rFonts w:eastAsia="Calibri"/>
          <w:lang w:eastAsia="en-US"/>
        </w:rPr>
        <w:t xml:space="preserve"> (</w:t>
      </w:r>
      <w:r w:rsidR="000D1DA1" w:rsidRPr="000D1DA1">
        <w:rPr>
          <w:lang w:val="en-US"/>
        </w:rPr>
        <w:t>Eu</w:t>
      </w:r>
      <w:r w:rsidR="000D1DA1" w:rsidRPr="000D1DA1">
        <w:t>(</w:t>
      </w:r>
      <w:r w:rsidR="000D1DA1" w:rsidRPr="000D1DA1">
        <w:rPr>
          <w:lang w:val="en-US"/>
        </w:rPr>
        <w:t>Phen</w:t>
      </w:r>
      <w:r w:rsidR="000D1DA1" w:rsidRPr="000D1DA1">
        <w:t>)</w:t>
      </w:r>
      <w:r w:rsidR="000D1DA1" w:rsidRPr="000D1DA1">
        <w:rPr>
          <w:vertAlign w:val="subscript"/>
        </w:rPr>
        <w:t>2</w:t>
      </w:r>
      <w:r w:rsidR="000D1DA1" w:rsidRPr="000D1DA1">
        <w:t>-</w:t>
      </w:r>
      <w:r w:rsidR="000D1DA1" w:rsidRPr="000D1DA1">
        <w:rPr>
          <w:lang w:val="en-US"/>
        </w:rPr>
        <w:t>PVP</w:t>
      </w:r>
      <w:r w:rsidR="000D1DA1" w:rsidRPr="000D1DA1">
        <w:t>-</w:t>
      </w:r>
      <w:r w:rsidR="000D1DA1" w:rsidRPr="000D1DA1">
        <w:rPr>
          <w:lang w:val="en-US"/>
        </w:rPr>
        <w:t>KK</w:t>
      </w:r>
      <w:r w:rsidR="000D1DA1" w:rsidRPr="000D1DA1">
        <w:t>)</w:t>
      </w:r>
      <w:r w:rsidR="00A30727">
        <w:t xml:space="preserve"> с 16% </w:t>
      </w:r>
      <w:r w:rsidR="00A30727" w:rsidRPr="005278B9">
        <w:rPr>
          <w:rFonts w:eastAsia="Calibri"/>
          <w:lang w:eastAsia="en-US"/>
        </w:rPr>
        <w:t>[</w:t>
      </w:r>
      <w:r w:rsidR="00A30727" w:rsidRPr="005278B9">
        <w:rPr>
          <w:rFonts w:eastAsia="Calibri"/>
          <w:lang w:val="en-US" w:eastAsia="en-US"/>
        </w:rPr>
        <w:t>Eu</w:t>
      </w:r>
      <w:r w:rsidR="00A30727" w:rsidRPr="005278B9">
        <w:rPr>
          <w:rFonts w:eastAsia="Calibri"/>
          <w:lang w:eastAsia="en-US"/>
        </w:rPr>
        <w:t>(</w:t>
      </w:r>
      <w:r w:rsidR="00A30727" w:rsidRPr="005278B9">
        <w:rPr>
          <w:rFonts w:eastAsia="Calibri"/>
          <w:lang w:val="en-US" w:eastAsia="en-US"/>
        </w:rPr>
        <w:t>Phen</w:t>
      </w:r>
      <w:r w:rsidR="00A30727" w:rsidRPr="005278B9">
        <w:rPr>
          <w:rFonts w:eastAsia="Calibri"/>
          <w:lang w:eastAsia="en-US"/>
        </w:rPr>
        <w:t>)</w:t>
      </w:r>
      <w:r w:rsidR="00A30727" w:rsidRPr="005278B9">
        <w:rPr>
          <w:rFonts w:eastAsia="Calibri"/>
          <w:vertAlign w:val="subscript"/>
          <w:lang w:eastAsia="en-US"/>
        </w:rPr>
        <w:t>2</w:t>
      </w:r>
      <w:r w:rsidR="00A30727" w:rsidRPr="005278B9">
        <w:rPr>
          <w:rFonts w:eastAsia="Calibri"/>
          <w:lang w:eastAsia="en-US"/>
        </w:rPr>
        <w:t>]</w:t>
      </w:r>
      <w:r w:rsidR="00A30727" w:rsidRPr="005278B9">
        <w:rPr>
          <w:rFonts w:eastAsia="Calibri"/>
          <w:vertAlign w:val="superscript"/>
          <w:lang w:eastAsia="en-US"/>
        </w:rPr>
        <w:t>3+</w:t>
      </w:r>
      <w:r w:rsidR="005278B9" w:rsidRPr="005278B9">
        <w:rPr>
          <w:rFonts w:eastAsia="Calibri"/>
          <w:lang w:eastAsia="en-US"/>
        </w:rPr>
        <w:t>,</w:t>
      </w:r>
      <w:r w:rsidR="005278B9">
        <w:rPr>
          <w:rFonts w:eastAsia="Calibri"/>
          <w:lang w:eastAsia="en-US"/>
        </w:rPr>
        <w:t xml:space="preserve"> </w:t>
      </w:r>
      <w:r w:rsidR="005278B9" w:rsidRPr="005278B9">
        <w:rPr>
          <w:rFonts w:eastAsia="Calibri"/>
          <w:lang w:eastAsia="en-US"/>
        </w:rPr>
        <w:t xml:space="preserve">сополимером </w:t>
      </w:r>
      <w:r w:rsidR="005278B9" w:rsidRPr="005278B9">
        <w:rPr>
          <w:rFonts w:eastAsia="Calibri"/>
          <w:i/>
          <w:lang w:val="en-US" w:eastAsia="en-US"/>
        </w:rPr>
        <w:t>N</w:t>
      </w:r>
      <w:r w:rsidR="005278B9" w:rsidRPr="005278B9">
        <w:rPr>
          <w:rFonts w:eastAsia="Calibri"/>
          <w:lang w:eastAsia="en-US"/>
        </w:rPr>
        <w:t xml:space="preserve">-винилпирролидона с </w:t>
      </w:r>
      <w:r w:rsidR="005278B9" w:rsidRPr="005278B9">
        <w:rPr>
          <w:rFonts w:eastAsia="Calibri"/>
          <w:lang w:val="en-US" w:eastAsia="en-US"/>
        </w:rPr>
        <w:t>N</w:t>
      </w:r>
      <w:r w:rsidR="005278B9" w:rsidRPr="005278B9">
        <w:rPr>
          <w:rFonts w:eastAsia="Calibri"/>
          <w:lang w:eastAsia="en-US"/>
        </w:rPr>
        <w:t>-виниламидоянтарной кислотой</w:t>
      </w:r>
      <w:r w:rsidR="000D1DA1">
        <w:rPr>
          <w:rFonts w:eastAsia="Calibri"/>
          <w:lang w:eastAsia="en-US"/>
        </w:rPr>
        <w:t xml:space="preserve"> (</w:t>
      </w:r>
      <w:r w:rsidR="000D1DA1" w:rsidRPr="000D1DA1">
        <w:rPr>
          <w:lang w:val="en-US"/>
        </w:rPr>
        <w:t>Eu</w:t>
      </w:r>
      <w:r w:rsidR="000D1DA1" w:rsidRPr="000D1DA1">
        <w:t>(</w:t>
      </w:r>
      <w:r w:rsidR="000D1DA1" w:rsidRPr="000D1DA1">
        <w:rPr>
          <w:lang w:val="en-US"/>
        </w:rPr>
        <w:t>Phen</w:t>
      </w:r>
      <w:r w:rsidR="000D1DA1" w:rsidRPr="000D1DA1">
        <w:t>)</w:t>
      </w:r>
      <w:r w:rsidR="000D1DA1" w:rsidRPr="000D1DA1">
        <w:rPr>
          <w:vertAlign w:val="subscript"/>
        </w:rPr>
        <w:t>2</w:t>
      </w:r>
      <w:r w:rsidR="000D1DA1" w:rsidRPr="000D1DA1">
        <w:t>-</w:t>
      </w:r>
      <w:r w:rsidR="000D1DA1" w:rsidRPr="000D1DA1">
        <w:rPr>
          <w:lang w:val="en-US"/>
        </w:rPr>
        <w:t>HPVP</w:t>
      </w:r>
      <w:r w:rsidR="000D1DA1" w:rsidRPr="000D1DA1">
        <w:rPr>
          <w:rFonts w:eastAsia="Calibri"/>
          <w:lang w:eastAsia="en-US"/>
        </w:rPr>
        <w:t>-</w:t>
      </w:r>
      <w:r w:rsidR="000D1DA1" w:rsidRPr="000D1DA1">
        <w:rPr>
          <w:rFonts w:eastAsia="Calibri"/>
          <w:lang w:val="en-US" w:eastAsia="en-US"/>
        </w:rPr>
        <w:t>VAA</w:t>
      </w:r>
      <w:r w:rsidR="000D1DA1" w:rsidRPr="000D1DA1">
        <w:rPr>
          <w:rFonts w:eastAsia="Calibri"/>
          <w:lang w:eastAsia="en-US"/>
        </w:rPr>
        <w:t>)</w:t>
      </w:r>
      <w:r w:rsidR="00A30727">
        <w:rPr>
          <w:rFonts w:eastAsia="Calibri"/>
          <w:lang w:eastAsia="en-US"/>
        </w:rPr>
        <w:t xml:space="preserve"> с 50% </w:t>
      </w:r>
      <w:r w:rsidR="00A30727" w:rsidRPr="005278B9">
        <w:rPr>
          <w:rFonts w:eastAsia="Calibri"/>
          <w:lang w:eastAsia="en-US"/>
        </w:rPr>
        <w:t>[</w:t>
      </w:r>
      <w:r w:rsidR="00A30727" w:rsidRPr="005278B9">
        <w:rPr>
          <w:rFonts w:eastAsia="Calibri"/>
          <w:lang w:val="en-US" w:eastAsia="en-US"/>
        </w:rPr>
        <w:t>Eu</w:t>
      </w:r>
      <w:r w:rsidR="00A30727" w:rsidRPr="005278B9">
        <w:rPr>
          <w:rFonts w:eastAsia="Calibri"/>
          <w:lang w:eastAsia="en-US"/>
        </w:rPr>
        <w:t>(</w:t>
      </w:r>
      <w:r w:rsidR="00A30727" w:rsidRPr="005278B9">
        <w:rPr>
          <w:rFonts w:eastAsia="Calibri"/>
          <w:lang w:val="en-US" w:eastAsia="en-US"/>
        </w:rPr>
        <w:t>Phen</w:t>
      </w:r>
      <w:r w:rsidR="00A30727" w:rsidRPr="005278B9">
        <w:rPr>
          <w:rFonts w:eastAsia="Calibri"/>
          <w:lang w:eastAsia="en-US"/>
        </w:rPr>
        <w:t>)</w:t>
      </w:r>
      <w:r w:rsidR="00A30727" w:rsidRPr="005278B9">
        <w:rPr>
          <w:rFonts w:eastAsia="Calibri"/>
          <w:vertAlign w:val="subscript"/>
          <w:lang w:eastAsia="en-US"/>
        </w:rPr>
        <w:t>2</w:t>
      </w:r>
      <w:r w:rsidR="00A30727" w:rsidRPr="005278B9">
        <w:rPr>
          <w:rFonts w:eastAsia="Calibri"/>
          <w:lang w:eastAsia="en-US"/>
        </w:rPr>
        <w:t>]</w:t>
      </w:r>
      <w:r w:rsidR="00A30727" w:rsidRPr="005278B9">
        <w:rPr>
          <w:rFonts w:eastAsia="Calibri"/>
          <w:vertAlign w:val="superscript"/>
          <w:lang w:eastAsia="en-US"/>
        </w:rPr>
        <w:t>3+</w:t>
      </w:r>
      <w:r w:rsidR="005278B9">
        <w:rPr>
          <w:rFonts w:eastAsia="Calibri"/>
          <w:lang w:eastAsia="en-US"/>
        </w:rPr>
        <w:t>.</w:t>
      </w:r>
    </w:p>
    <w:p w14:paraId="32FD4CB3" w14:textId="133A3F70" w:rsidR="00963CF5" w:rsidRDefault="000D1DA1" w:rsidP="00963C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 wp14:anchorId="3CA06AA1" wp14:editId="3766DE9D">
            <wp:extent cx="5104130" cy="1895429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" t="4115" r="2938" b="4906"/>
                    <a:stretch/>
                  </pic:blipFill>
                  <pic:spPr bwMode="auto">
                    <a:xfrm>
                      <a:off x="0" y="0"/>
                      <a:ext cx="5128011" cy="1904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B9249" w14:textId="77777777" w:rsidR="00CB051A" w:rsidRDefault="00963CF5" w:rsidP="00CB051A">
      <w:pPr>
        <w:pStyle w:val="ab"/>
        <w:jc w:val="center"/>
        <w:rPr>
          <w:color w:val="auto"/>
          <w:sz w:val="22"/>
          <w:szCs w:val="22"/>
        </w:rPr>
      </w:pPr>
      <w:r w:rsidRPr="00074BA9">
        <w:rPr>
          <w:i w:val="0"/>
          <w:iCs w:val="0"/>
          <w:color w:val="auto"/>
          <w:sz w:val="22"/>
          <w:szCs w:val="22"/>
        </w:rPr>
        <w:t>Рис</w:t>
      </w:r>
      <w:r w:rsidR="00074BA9">
        <w:rPr>
          <w:i w:val="0"/>
          <w:iCs w:val="0"/>
          <w:color w:val="auto"/>
          <w:sz w:val="22"/>
          <w:szCs w:val="22"/>
        </w:rPr>
        <w:t>.</w:t>
      </w:r>
      <w:r w:rsidRPr="00074BA9">
        <w:rPr>
          <w:i w:val="0"/>
          <w:iCs w:val="0"/>
          <w:color w:val="auto"/>
          <w:sz w:val="22"/>
          <w:szCs w:val="22"/>
        </w:rPr>
        <w:t xml:space="preserve"> </w:t>
      </w:r>
      <w:r w:rsidRPr="00074BA9">
        <w:rPr>
          <w:i w:val="0"/>
          <w:iCs w:val="0"/>
          <w:color w:val="auto"/>
          <w:sz w:val="22"/>
          <w:szCs w:val="22"/>
        </w:rPr>
        <w:fldChar w:fldCharType="begin"/>
      </w:r>
      <w:r w:rsidRPr="00074BA9">
        <w:rPr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074BA9">
        <w:rPr>
          <w:i w:val="0"/>
          <w:iCs w:val="0"/>
          <w:color w:val="auto"/>
          <w:sz w:val="22"/>
          <w:szCs w:val="22"/>
        </w:rPr>
        <w:fldChar w:fldCharType="separate"/>
      </w:r>
      <w:r w:rsidRPr="00074BA9">
        <w:rPr>
          <w:i w:val="0"/>
          <w:iCs w:val="0"/>
          <w:noProof/>
          <w:color w:val="auto"/>
          <w:sz w:val="22"/>
          <w:szCs w:val="22"/>
        </w:rPr>
        <w:t>1</w:t>
      </w:r>
      <w:r w:rsidRPr="00074BA9">
        <w:rPr>
          <w:i w:val="0"/>
          <w:iCs w:val="0"/>
          <w:color w:val="auto"/>
          <w:sz w:val="22"/>
          <w:szCs w:val="22"/>
        </w:rPr>
        <w:fldChar w:fldCharType="end"/>
      </w:r>
      <w:r w:rsidR="00074BA9">
        <w:rPr>
          <w:i w:val="0"/>
          <w:iCs w:val="0"/>
          <w:color w:val="auto"/>
          <w:sz w:val="22"/>
          <w:szCs w:val="22"/>
        </w:rPr>
        <w:t>. Спектры возбуждения (слева) и спектры испускания (справа)</w:t>
      </w:r>
      <w:r w:rsidR="00074BA9" w:rsidRPr="00074BA9">
        <w:rPr>
          <w:i w:val="0"/>
          <w:iCs w:val="0"/>
          <w:color w:val="auto"/>
          <w:sz w:val="22"/>
          <w:szCs w:val="22"/>
        </w:rPr>
        <w:t xml:space="preserve"> </w:t>
      </w:r>
      <w:r w:rsidR="00074BA9">
        <w:rPr>
          <w:i w:val="0"/>
          <w:iCs w:val="0"/>
          <w:color w:val="auto"/>
          <w:sz w:val="22"/>
          <w:szCs w:val="22"/>
        </w:rPr>
        <w:t xml:space="preserve">люминесценции </w:t>
      </w:r>
      <w:bookmarkStart w:id="1" w:name="_Hlk158889495"/>
      <w:r w:rsidR="00074BA9" w:rsidRPr="00074BA9">
        <w:rPr>
          <w:i w:val="0"/>
          <w:iCs w:val="0"/>
          <w:color w:val="auto"/>
          <w:sz w:val="22"/>
          <w:szCs w:val="22"/>
        </w:rPr>
        <w:t>Eu(Phen)</w:t>
      </w:r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>2</w:t>
      </w:r>
      <w:r w:rsidR="00074BA9" w:rsidRPr="00074BA9">
        <w:rPr>
          <w:i w:val="0"/>
          <w:iCs w:val="0"/>
          <w:color w:val="auto"/>
          <w:sz w:val="22"/>
          <w:szCs w:val="22"/>
        </w:rPr>
        <w:t>Br</w:t>
      </w:r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>3</w:t>
      </w:r>
      <w:bookmarkEnd w:id="1"/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 xml:space="preserve"> 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I</w:t>
      </w:r>
      <w:r w:rsidR="00074BA9" w:rsidRPr="00074BA9">
        <w:rPr>
          <w:i w:val="0"/>
          <w:iCs w:val="0"/>
          <w:color w:val="auto"/>
          <w:sz w:val="22"/>
          <w:szCs w:val="22"/>
        </w:rPr>
        <w:t xml:space="preserve">), </w:t>
      </w:r>
      <w:bookmarkStart w:id="2" w:name="_Hlk153710461"/>
      <w:bookmarkStart w:id="3" w:name="_Hlk153709940"/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bookmarkStart w:id="4" w:name="_Hlk158890668"/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Eu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Phen</w:t>
      </w:r>
      <w:r w:rsidR="00074BA9" w:rsidRPr="00074BA9">
        <w:rPr>
          <w:i w:val="0"/>
          <w:iCs w:val="0"/>
          <w:color w:val="auto"/>
          <w:sz w:val="22"/>
          <w:szCs w:val="22"/>
        </w:rPr>
        <w:t>)</w:t>
      </w:r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>2</w:t>
      </w:r>
      <w:r w:rsidR="00074BA9" w:rsidRPr="00074BA9">
        <w:rPr>
          <w:i w:val="0"/>
          <w:iCs w:val="0"/>
          <w:color w:val="auto"/>
          <w:sz w:val="22"/>
          <w:szCs w:val="22"/>
        </w:rPr>
        <w:t>-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HPVP</w:t>
      </w:r>
      <w:bookmarkEnd w:id="4"/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II</w:t>
      </w:r>
      <w:r w:rsidR="00074BA9" w:rsidRPr="00074BA9">
        <w:rPr>
          <w:i w:val="0"/>
          <w:iCs w:val="0"/>
          <w:color w:val="auto"/>
          <w:sz w:val="22"/>
          <w:szCs w:val="22"/>
        </w:rPr>
        <w:t xml:space="preserve">), 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Eu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Phen</w:t>
      </w:r>
      <w:r w:rsidR="00074BA9" w:rsidRPr="00074BA9">
        <w:rPr>
          <w:i w:val="0"/>
          <w:iCs w:val="0"/>
          <w:color w:val="auto"/>
          <w:sz w:val="22"/>
          <w:szCs w:val="22"/>
        </w:rPr>
        <w:t>)</w:t>
      </w:r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>2</w:t>
      </w:r>
      <w:r w:rsidR="00074BA9" w:rsidRPr="00074BA9">
        <w:rPr>
          <w:i w:val="0"/>
          <w:iCs w:val="0"/>
          <w:color w:val="auto"/>
          <w:sz w:val="22"/>
          <w:szCs w:val="22"/>
        </w:rPr>
        <w:t>-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PVP</w:t>
      </w:r>
      <w:r w:rsidR="00074BA9" w:rsidRPr="00074BA9">
        <w:rPr>
          <w:i w:val="0"/>
          <w:iCs w:val="0"/>
          <w:color w:val="auto"/>
          <w:sz w:val="22"/>
          <w:szCs w:val="22"/>
        </w:rPr>
        <w:t>-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KK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III</w:t>
      </w:r>
      <w:r w:rsidR="00074BA9" w:rsidRPr="00074BA9">
        <w:rPr>
          <w:i w:val="0"/>
          <w:iCs w:val="0"/>
          <w:color w:val="auto"/>
          <w:sz w:val="22"/>
          <w:szCs w:val="22"/>
        </w:rPr>
        <w:t xml:space="preserve">), 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Eu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Phen</w:t>
      </w:r>
      <w:r w:rsidR="00074BA9" w:rsidRPr="00074BA9">
        <w:rPr>
          <w:i w:val="0"/>
          <w:iCs w:val="0"/>
          <w:color w:val="auto"/>
          <w:sz w:val="22"/>
          <w:szCs w:val="22"/>
        </w:rPr>
        <w:t>)</w:t>
      </w:r>
      <w:r w:rsidR="00074BA9" w:rsidRPr="00074BA9">
        <w:rPr>
          <w:i w:val="0"/>
          <w:iCs w:val="0"/>
          <w:color w:val="auto"/>
          <w:sz w:val="22"/>
          <w:szCs w:val="22"/>
          <w:vertAlign w:val="subscript"/>
        </w:rPr>
        <w:t>2</w:t>
      </w:r>
      <w:r w:rsidR="00074BA9" w:rsidRPr="00074BA9">
        <w:rPr>
          <w:i w:val="0"/>
          <w:iCs w:val="0"/>
          <w:color w:val="auto"/>
          <w:sz w:val="22"/>
          <w:szCs w:val="22"/>
        </w:rPr>
        <w:t>-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HPVP</w:t>
      </w:r>
      <w:r w:rsidR="00074BA9" w:rsidRPr="00074BA9">
        <w:rPr>
          <w:i w:val="0"/>
          <w:iCs w:val="0"/>
          <w:color w:val="auto"/>
          <w:sz w:val="22"/>
          <w:szCs w:val="22"/>
        </w:rPr>
        <w:t>-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VAA</w:t>
      </w:r>
      <w:r w:rsidR="00074BA9" w:rsidRPr="00074BA9">
        <w:rPr>
          <w:i w:val="0"/>
          <w:iCs w:val="0"/>
          <w:color w:val="auto"/>
          <w:sz w:val="22"/>
          <w:szCs w:val="22"/>
        </w:rPr>
        <w:t>(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IV</w:t>
      </w:r>
      <w:r w:rsidR="00074BA9" w:rsidRPr="00074BA9">
        <w:rPr>
          <w:i w:val="0"/>
          <w:iCs w:val="0"/>
          <w:color w:val="auto"/>
          <w:sz w:val="22"/>
          <w:szCs w:val="22"/>
        </w:rPr>
        <w:t>))</w:t>
      </w:r>
      <w:bookmarkEnd w:id="2"/>
      <w:r w:rsidR="00074BA9" w:rsidRPr="00074BA9">
        <w:rPr>
          <w:i w:val="0"/>
          <w:iCs w:val="0"/>
          <w:color w:val="auto"/>
          <w:sz w:val="22"/>
          <w:szCs w:val="22"/>
        </w:rPr>
        <w:t xml:space="preserve"> </w:t>
      </w:r>
      <w:bookmarkEnd w:id="3"/>
      <w:r w:rsidR="00074BA9" w:rsidRPr="00074BA9">
        <w:rPr>
          <w:i w:val="0"/>
          <w:iCs w:val="0"/>
          <w:color w:val="auto"/>
          <w:sz w:val="22"/>
          <w:szCs w:val="22"/>
        </w:rPr>
        <w:t xml:space="preserve"> в </w:t>
      </w:r>
      <w:r w:rsidR="00074BA9" w:rsidRPr="00074BA9">
        <w:rPr>
          <w:i w:val="0"/>
          <w:iCs w:val="0"/>
          <w:color w:val="auto"/>
          <w:sz w:val="22"/>
          <w:szCs w:val="22"/>
          <w:lang w:val="en-US"/>
        </w:rPr>
        <w:t>MeOH</w:t>
      </w:r>
      <w:r w:rsidR="00074BA9">
        <w:rPr>
          <w:i w:val="0"/>
          <w:iCs w:val="0"/>
          <w:color w:val="auto"/>
          <w:sz w:val="22"/>
          <w:szCs w:val="22"/>
        </w:rPr>
        <w:t xml:space="preserve"> </w:t>
      </w:r>
      <w:r w:rsidR="00074BA9">
        <w:rPr>
          <w:i w:val="0"/>
          <w:iCs w:val="0"/>
          <w:color w:val="auto"/>
          <w:sz w:val="22"/>
          <w:szCs w:val="22"/>
          <w:lang w:val="en-US"/>
        </w:rPr>
        <w:t>T</w:t>
      </w:r>
      <w:r w:rsidR="00074BA9" w:rsidRPr="00074BA9">
        <w:rPr>
          <w:i w:val="0"/>
          <w:iCs w:val="0"/>
          <w:color w:val="auto"/>
          <w:sz w:val="22"/>
          <w:szCs w:val="22"/>
        </w:rPr>
        <w:t xml:space="preserve"> =</w:t>
      </w:r>
      <w:r w:rsidR="00074BA9">
        <w:rPr>
          <w:i w:val="0"/>
          <w:iCs w:val="0"/>
          <w:color w:val="auto"/>
          <w:sz w:val="22"/>
          <w:szCs w:val="22"/>
        </w:rPr>
        <w:t xml:space="preserve"> 298 К  </w:t>
      </w:r>
    </w:p>
    <w:p w14:paraId="5B5CBFAB" w14:textId="4F95350E" w:rsidR="00CB051A" w:rsidRPr="00CB051A" w:rsidRDefault="00074BA9" w:rsidP="00CB051A">
      <w:pPr>
        <w:pStyle w:val="ab"/>
        <w:jc w:val="both"/>
        <w:rPr>
          <w:color w:val="auto"/>
          <w:sz w:val="22"/>
          <w:szCs w:val="22"/>
        </w:rPr>
      </w:pPr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Измерение спектров возбуждения (рис. 1. слева) проводилось при 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облучении </w:t>
      </w:r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длин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ой</w:t>
      </w:r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волны </w:t>
      </w:r>
      <w:bookmarkStart w:id="5" w:name="_Hlk158889680"/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≈ 610</w:t>
      </w:r>
      <w:bookmarkEnd w:id="5"/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нм. Интенсивная</w:t>
      </w:r>
      <w:r w:rsidR="00CB051A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,</w:t>
      </w:r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широкая полоса возбуждения около 300 нм </w:t>
      </w:r>
      <w:r w:rsidR="009C4198">
        <w:rPr>
          <w:rFonts w:eastAsia="Calibri"/>
          <w:i w:val="0"/>
          <w:iCs w:val="0"/>
          <w:color w:val="auto"/>
          <w:sz w:val="24"/>
          <w:szCs w:val="28"/>
          <w:lang w:eastAsia="en-US"/>
        </w:rPr>
        <w:t xml:space="preserve">характеризует </w:t>
      </w:r>
      <w:r w:rsidRPr="00074BA9">
        <w:rPr>
          <w:rFonts w:eastAsia="Calibri"/>
          <w:i w:val="0"/>
          <w:iCs w:val="0"/>
          <w:color w:val="auto"/>
          <w:sz w:val="24"/>
          <w:szCs w:val="28"/>
          <w:lang w:eastAsia="en-US"/>
        </w:rPr>
        <w:t>электронны</w:t>
      </w:r>
      <w:r w:rsidR="009C4198">
        <w:rPr>
          <w:rFonts w:eastAsia="Calibri"/>
          <w:i w:val="0"/>
          <w:iCs w:val="0"/>
          <w:color w:val="auto"/>
          <w:sz w:val="24"/>
          <w:szCs w:val="28"/>
          <w:lang w:eastAsia="en-US"/>
        </w:rPr>
        <w:t>й</w:t>
      </w:r>
      <w:r w:rsidRPr="00074BA9">
        <w:rPr>
          <w:rFonts w:eastAsia="Calibri"/>
          <w:i w:val="0"/>
          <w:iCs w:val="0"/>
          <w:color w:val="auto"/>
          <w:sz w:val="24"/>
          <w:szCs w:val="28"/>
          <w:lang w:eastAsia="en-US"/>
        </w:rPr>
        <w:t xml:space="preserve"> переход </w:t>
      </w:r>
      <w:r w:rsidRPr="00074BA9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π→π* лиганда фенантролина</w:t>
      </w:r>
      <w:r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. Кроме того, можно наблюдать слабый пик при 535 нм, 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обусловленный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 xml:space="preserve">1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переходом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в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Eu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3+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. Спектры испускания люминесценции были получены путем облучения максимальной длиной волны ≈ 300 нм. В спектре обнаружены переходы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val="en-US" w:eastAsia="en-US"/>
        </w:rPr>
        <w:t>J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J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=2,4,5)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, характерные для иона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Eu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3+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,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с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 xml:space="preserve">2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переходом в качестве доминирующей полосы красного излучения</w:t>
      </w:r>
      <w:r w:rsid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. Для комплекса 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Eu(Phen)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2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Br</w:t>
      </w:r>
      <w:r w:rsidR="009C4198" w:rsidRPr="009C4198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3</w:t>
      </w:r>
      <w:r w:rsid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 xml:space="preserve"> </w:t>
      </w:r>
      <w:r w:rsid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можно заметить переход 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1</w:t>
      </w:r>
      <w:r w:rsid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(≈ 590 нм), ввиду этого был определен коэффициент асимметрии 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R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I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2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) / 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I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(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5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D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0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→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perscript"/>
          <w:lang w:eastAsia="en-US"/>
        </w:rPr>
        <w:t>7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F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vertAlign w:val="subscript"/>
          <w:lang w:eastAsia="en-US"/>
        </w:rPr>
        <w:t>1</w:t>
      </w:r>
      <w:r w:rsidR="008E6CB1" w:rsidRP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>))</w:t>
      </w:r>
      <w:r w:rsid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. </w:t>
      </w:r>
      <w:r w:rsidR="008E6CB1">
        <w:rPr>
          <w:rFonts w:eastAsia="Calibri"/>
          <w:i w:val="0"/>
          <w:iCs w:val="0"/>
          <w:color w:val="auto"/>
          <w:sz w:val="24"/>
          <w:szCs w:val="24"/>
          <w:lang w:val="en-US" w:eastAsia="en-US"/>
        </w:rPr>
        <w:t>R</w:t>
      </w:r>
      <w:r w:rsidR="008E6CB1">
        <w:rPr>
          <w:rFonts w:eastAsia="Calibri"/>
          <w:i w:val="0"/>
          <w:iCs w:val="0"/>
          <w:color w:val="auto"/>
          <w:sz w:val="24"/>
          <w:szCs w:val="24"/>
          <w:lang w:eastAsia="en-US"/>
        </w:rPr>
        <w:t xml:space="preserve"> составляет 1.6, что указывает </w:t>
      </w:r>
      <w:r w:rsidR="008E6CB1" w:rsidRPr="008E6CB1">
        <w:rPr>
          <w:i w:val="0"/>
          <w:iCs w:val="0"/>
          <w:color w:val="000000"/>
          <w:sz w:val="24"/>
          <w:szCs w:val="24"/>
        </w:rPr>
        <w:t xml:space="preserve">на низкосимметричную координационную среду вокруг </w:t>
      </w:r>
      <w:r w:rsidR="008E6CB1" w:rsidRPr="008E6CB1">
        <w:rPr>
          <w:i w:val="0"/>
          <w:iCs w:val="0"/>
          <w:color w:val="000000"/>
          <w:sz w:val="24"/>
          <w:szCs w:val="24"/>
          <w:lang w:val="en-US"/>
        </w:rPr>
        <w:t>Eu</w:t>
      </w:r>
      <w:r w:rsidR="008E6CB1" w:rsidRPr="008E6CB1">
        <w:rPr>
          <w:i w:val="0"/>
          <w:iCs w:val="0"/>
          <w:color w:val="000000"/>
          <w:sz w:val="24"/>
          <w:szCs w:val="24"/>
          <w:vertAlign w:val="superscript"/>
        </w:rPr>
        <w:t>3+</w:t>
      </w:r>
      <w:r w:rsidR="008E6CB1" w:rsidRPr="008E6CB1">
        <w:rPr>
          <w:i w:val="0"/>
          <w:iCs w:val="0"/>
          <w:color w:val="000000"/>
          <w:sz w:val="24"/>
          <w:szCs w:val="24"/>
        </w:rPr>
        <w:t>.</w:t>
      </w:r>
      <w:r w:rsidR="00CB051A" w:rsidRPr="00CB051A">
        <w:rPr>
          <w:i w:val="0"/>
          <w:iCs w:val="0"/>
          <w:color w:val="000000"/>
          <w:sz w:val="24"/>
          <w:szCs w:val="24"/>
        </w:rPr>
        <w:t xml:space="preserve"> </w:t>
      </w:r>
      <w:r w:rsidR="00A30727">
        <w:rPr>
          <w:i w:val="0"/>
          <w:iCs w:val="0"/>
          <w:color w:val="000000"/>
          <w:sz w:val="24"/>
          <w:szCs w:val="24"/>
        </w:rPr>
        <w:t>Относительный к</w:t>
      </w:r>
      <w:r w:rsidR="000D1DA1">
        <w:rPr>
          <w:i w:val="0"/>
          <w:iCs w:val="0"/>
          <w:color w:val="000000"/>
          <w:sz w:val="24"/>
          <w:szCs w:val="24"/>
        </w:rPr>
        <w:t>вантовый выход люминесценции</w:t>
      </w:r>
      <w:r w:rsidR="00A30727">
        <w:rPr>
          <w:i w:val="0"/>
          <w:iCs w:val="0"/>
          <w:color w:val="000000"/>
          <w:sz w:val="24"/>
          <w:szCs w:val="24"/>
        </w:rPr>
        <w:t xml:space="preserve"> (</w:t>
      </w:r>
      <w:r w:rsidR="00A30727">
        <w:rPr>
          <w:i w:val="0"/>
          <w:iCs w:val="0"/>
          <w:color w:val="000000"/>
          <w:sz w:val="24"/>
          <w:szCs w:val="24"/>
          <w:lang w:val="en-US"/>
        </w:rPr>
        <w:t>Q</w:t>
      </w:r>
      <w:r w:rsidR="00A30727" w:rsidRPr="00A30727">
        <w:rPr>
          <w:i w:val="0"/>
          <w:iCs w:val="0"/>
          <w:color w:val="000000"/>
          <w:sz w:val="24"/>
          <w:szCs w:val="24"/>
          <w:vertAlign w:val="subscript"/>
          <w:lang w:val="en-US"/>
        </w:rPr>
        <w:t>p</w:t>
      </w:r>
      <w:r w:rsidR="00CB051A">
        <w:rPr>
          <w:i w:val="0"/>
          <w:iCs w:val="0"/>
          <w:color w:val="000000"/>
          <w:sz w:val="24"/>
          <w:szCs w:val="24"/>
        </w:rPr>
        <w:t xml:space="preserve">) </w:t>
      </w:r>
      <w:r w:rsidR="00A30727">
        <w:rPr>
          <w:i w:val="0"/>
          <w:iCs w:val="0"/>
          <w:color w:val="000000"/>
          <w:sz w:val="24"/>
          <w:szCs w:val="24"/>
        </w:rPr>
        <w:t>определялся методом эталонного красителя (в качестве эталона был использован родамин 6Ж). В таблице 1 представлены значения квантового выхода для комплекса европия и МПК, измеренные при комнатной температуре.</w:t>
      </w:r>
    </w:p>
    <w:p w14:paraId="633BADF9" w14:textId="488287D0" w:rsidR="00CB051A" w:rsidRPr="00CB051A" w:rsidRDefault="00CB051A" w:rsidP="00CB051A">
      <w:pPr>
        <w:pStyle w:val="ab"/>
        <w:keepNext/>
        <w:rPr>
          <w:i w:val="0"/>
          <w:iCs w:val="0"/>
        </w:rPr>
      </w:pPr>
      <w:r w:rsidRPr="00CB051A">
        <w:rPr>
          <w:i w:val="0"/>
          <w:iCs w:val="0"/>
          <w:color w:val="auto"/>
          <w:sz w:val="22"/>
          <w:szCs w:val="22"/>
        </w:rPr>
        <w:t xml:space="preserve">Таблица </w:t>
      </w:r>
      <w:r w:rsidRPr="00CB051A">
        <w:rPr>
          <w:i w:val="0"/>
          <w:iCs w:val="0"/>
          <w:color w:val="auto"/>
          <w:sz w:val="22"/>
          <w:szCs w:val="22"/>
        </w:rPr>
        <w:fldChar w:fldCharType="begin"/>
      </w:r>
      <w:r w:rsidRPr="00CB051A">
        <w:rPr>
          <w:i w:val="0"/>
          <w:iCs w:val="0"/>
          <w:color w:val="auto"/>
          <w:sz w:val="22"/>
          <w:szCs w:val="22"/>
        </w:rPr>
        <w:instrText xml:space="preserve"> SEQ Таблица \* ARABIC </w:instrText>
      </w:r>
      <w:r w:rsidRPr="00CB051A">
        <w:rPr>
          <w:i w:val="0"/>
          <w:iCs w:val="0"/>
          <w:color w:val="auto"/>
          <w:sz w:val="22"/>
          <w:szCs w:val="22"/>
        </w:rPr>
        <w:fldChar w:fldCharType="separate"/>
      </w:r>
      <w:r w:rsidRPr="00CB051A">
        <w:rPr>
          <w:i w:val="0"/>
          <w:iCs w:val="0"/>
          <w:noProof/>
          <w:color w:val="auto"/>
          <w:sz w:val="22"/>
          <w:szCs w:val="22"/>
        </w:rPr>
        <w:t>1</w:t>
      </w:r>
      <w:r w:rsidRPr="00CB051A">
        <w:rPr>
          <w:i w:val="0"/>
          <w:iCs w:val="0"/>
          <w:color w:val="auto"/>
          <w:sz w:val="22"/>
          <w:szCs w:val="22"/>
        </w:rPr>
        <w:fldChar w:fldCharType="end"/>
      </w:r>
      <w:r w:rsidRPr="00CB051A">
        <w:rPr>
          <w:i w:val="0"/>
          <w:iCs w:val="0"/>
          <w:color w:val="auto"/>
          <w:sz w:val="22"/>
          <w:szCs w:val="22"/>
        </w:rPr>
        <w:t xml:space="preserve">. </w:t>
      </w:r>
      <w:r>
        <w:rPr>
          <w:i w:val="0"/>
          <w:iCs w:val="0"/>
          <w:color w:val="auto"/>
          <w:sz w:val="22"/>
          <w:szCs w:val="22"/>
        </w:rPr>
        <w:t xml:space="preserve">Относительный квантовый выход, измеренный в растворе, </w:t>
      </w:r>
      <w:r>
        <w:rPr>
          <w:i w:val="0"/>
          <w:iCs w:val="0"/>
          <w:color w:val="auto"/>
          <w:sz w:val="22"/>
          <w:szCs w:val="22"/>
          <w:lang w:val="en-US"/>
        </w:rPr>
        <w:t>Q</w:t>
      </w:r>
      <w:r w:rsidRPr="00CB051A">
        <w:rPr>
          <w:i w:val="0"/>
          <w:iCs w:val="0"/>
          <w:color w:val="auto"/>
          <w:sz w:val="22"/>
          <w:szCs w:val="22"/>
          <w:vertAlign w:val="subscript"/>
          <w:lang w:val="en-US"/>
        </w:rPr>
        <w:t>p</w:t>
      </w:r>
      <w:r>
        <w:rPr>
          <w:i w:val="0"/>
          <w:iCs w:val="0"/>
          <w:color w:val="auto"/>
          <w:sz w:val="22"/>
          <w:szCs w:val="22"/>
        </w:rPr>
        <w:t xml:space="preserve"> (%)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1499"/>
      </w:tblGrid>
      <w:tr w:rsidR="00CB051A" w14:paraId="274EF692" w14:textId="77777777" w:rsidTr="00CB051A">
        <w:trPr>
          <w:jc w:val="center"/>
        </w:trPr>
        <w:tc>
          <w:tcPr>
            <w:tcW w:w="3458" w:type="dxa"/>
          </w:tcPr>
          <w:p w14:paraId="790C38F3" w14:textId="086459B6" w:rsidR="00CB051A" w:rsidRPr="00CB051A" w:rsidRDefault="00CB051A" w:rsidP="00CB051A">
            <w:pPr>
              <w:jc w:val="center"/>
              <w:rPr>
                <w:sz w:val="22"/>
                <w:szCs w:val="22"/>
              </w:rPr>
            </w:pPr>
            <w:r w:rsidRPr="00CB051A">
              <w:rPr>
                <w:sz w:val="22"/>
                <w:szCs w:val="22"/>
              </w:rPr>
              <w:t>Соединение</w:t>
            </w:r>
          </w:p>
        </w:tc>
        <w:tc>
          <w:tcPr>
            <w:tcW w:w="1499" w:type="dxa"/>
          </w:tcPr>
          <w:p w14:paraId="64F1B238" w14:textId="33760DA1" w:rsidR="00CB051A" w:rsidRPr="00CB051A" w:rsidRDefault="00CB051A" w:rsidP="00CB051A">
            <w:pPr>
              <w:jc w:val="center"/>
            </w:pPr>
            <w:r w:rsidRPr="00CB051A">
              <w:rPr>
                <w:color w:val="000000"/>
                <w:sz w:val="22"/>
                <w:szCs w:val="22"/>
                <w:lang w:val="en-US"/>
              </w:rPr>
              <w:t>Q</w:t>
            </w:r>
            <w:r w:rsidRPr="00CB051A">
              <w:rPr>
                <w:color w:val="000000"/>
                <w:sz w:val="22"/>
                <w:szCs w:val="22"/>
                <w:vertAlign w:val="subscript"/>
                <w:lang w:val="en-US"/>
              </w:rPr>
              <w:t>p</w:t>
            </w:r>
            <w:r>
              <w:rPr>
                <w:color w:val="000000"/>
                <w:sz w:val="22"/>
                <w:szCs w:val="22"/>
              </w:rPr>
              <w:t>, %</w:t>
            </w:r>
          </w:p>
        </w:tc>
      </w:tr>
      <w:tr w:rsidR="00CB051A" w14:paraId="4C15A373" w14:textId="77777777" w:rsidTr="00CB051A">
        <w:trPr>
          <w:jc w:val="center"/>
        </w:trPr>
        <w:tc>
          <w:tcPr>
            <w:tcW w:w="3458" w:type="dxa"/>
          </w:tcPr>
          <w:p w14:paraId="1B560BEB" w14:textId="0096AB9A" w:rsidR="00CB051A" w:rsidRPr="00CB051A" w:rsidRDefault="00CB051A" w:rsidP="00CB051A">
            <w:pPr>
              <w:jc w:val="center"/>
            </w:pPr>
            <w:r w:rsidRPr="00CB051A">
              <w:rPr>
                <w:sz w:val="22"/>
                <w:szCs w:val="22"/>
              </w:rPr>
              <w:t>Eu(Phen)</w:t>
            </w:r>
            <w:r w:rsidRPr="00CB051A">
              <w:rPr>
                <w:sz w:val="22"/>
                <w:szCs w:val="22"/>
                <w:vertAlign w:val="subscript"/>
              </w:rPr>
              <w:t>2</w:t>
            </w:r>
            <w:r w:rsidRPr="00CB051A">
              <w:rPr>
                <w:sz w:val="22"/>
                <w:szCs w:val="22"/>
              </w:rPr>
              <w:t>Br</w:t>
            </w:r>
            <w:r w:rsidRPr="00CB051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499" w:type="dxa"/>
          </w:tcPr>
          <w:p w14:paraId="4F13F7C8" w14:textId="11FA9B11" w:rsidR="00CB051A" w:rsidRPr="00CB051A" w:rsidRDefault="00CB051A" w:rsidP="00CB051A">
            <w:pPr>
              <w:jc w:val="center"/>
              <w:rPr>
                <w:sz w:val="22"/>
                <w:szCs w:val="22"/>
              </w:rPr>
            </w:pPr>
            <w:r w:rsidRPr="00CB051A">
              <w:rPr>
                <w:sz w:val="22"/>
                <w:szCs w:val="22"/>
              </w:rPr>
              <w:t>13,4</w:t>
            </w:r>
          </w:p>
        </w:tc>
      </w:tr>
      <w:tr w:rsidR="00CB051A" w14:paraId="032902A5" w14:textId="77777777" w:rsidTr="00CB051A">
        <w:trPr>
          <w:jc w:val="center"/>
        </w:trPr>
        <w:tc>
          <w:tcPr>
            <w:tcW w:w="3458" w:type="dxa"/>
          </w:tcPr>
          <w:p w14:paraId="752C4CEA" w14:textId="1A191FBA" w:rsidR="00CB051A" w:rsidRPr="00CB051A" w:rsidRDefault="00CB051A" w:rsidP="00CB051A">
            <w:pPr>
              <w:jc w:val="center"/>
            </w:pPr>
            <w:r w:rsidRPr="00CB051A">
              <w:rPr>
                <w:sz w:val="22"/>
                <w:szCs w:val="22"/>
                <w:lang w:val="en-US"/>
              </w:rPr>
              <w:t>Eu</w:t>
            </w:r>
            <w:r w:rsidRPr="00CB051A">
              <w:rPr>
                <w:sz w:val="22"/>
                <w:szCs w:val="22"/>
              </w:rPr>
              <w:t>(</w:t>
            </w:r>
            <w:r w:rsidRPr="00CB051A">
              <w:rPr>
                <w:sz w:val="22"/>
                <w:szCs w:val="22"/>
                <w:lang w:val="en-US"/>
              </w:rPr>
              <w:t>Phen</w:t>
            </w:r>
            <w:r w:rsidRPr="00CB051A">
              <w:rPr>
                <w:sz w:val="22"/>
                <w:szCs w:val="22"/>
              </w:rPr>
              <w:t>)</w:t>
            </w:r>
            <w:r w:rsidRPr="00CB051A">
              <w:rPr>
                <w:sz w:val="22"/>
                <w:szCs w:val="22"/>
                <w:vertAlign w:val="subscript"/>
              </w:rPr>
              <w:t>2</w:t>
            </w:r>
            <w:r w:rsidRPr="00CB051A">
              <w:rPr>
                <w:sz w:val="22"/>
                <w:szCs w:val="22"/>
              </w:rPr>
              <w:t>-</w:t>
            </w:r>
            <w:r w:rsidRPr="00CB051A">
              <w:rPr>
                <w:sz w:val="22"/>
                <w:szCs w:val="22"/>
                <w:lang w:val="en-US"/>
              </w:rPr>
              <w:t>HPVP</w:t>
            </w:r>
          </w:p>
        </w:tc>
        <w:tc>
          <w:tcPr>
            <w:tcW w:w="1499" w:type="dxa"/>
          </w:tcPr>
          <w:p w14:paraId="3F8F9A8E" w14:textId="058C7DB2" w:rsidR="00CB051A" w:rsidRPr="00CB051A" w:rsidRDefault="00CB051A" w:rsidP="00CB051A">
            <w:pPr>
              <w:jc w:val="center"/>
              <w:rPr>
                <w:sz w:val="22"/>
                <w:szCs w:val="22"/>
              </w:rPr>
            </w:pPr>
            <w:r w:rsidRPr="00CB051A">
              <w:rPr>
                <w:sz w:val="22"/>
                <w:szCs w:val="22"/>
              </w:rPr>
              <w:t>74,5</w:t>
            </w:r>
          </w:p>
        </w:tc>
      </w:tr>
      <w:tr w:rsidR="00CB051A" w14:paraId="3938AE50" w14:textId="77777777" w:rsidTr="00CB051A">
        <w:trPr>
          <w:jc w:val="center"/>
        </w:trPr>
        <w:tc>
          <w:tcPr>
            <w:tcW w:w="3458" w:type="dxa"/>
          </w:tcPr>
          <w:p w14:paraId="57572B3D" w14:textId="1DAFBD68" w:rsidR="00CB051A" w:rsidRPr="00CB051A" w:rsidRDefault="00CB051A" w:rsidP="00CB051A">
            <w:pPr>
              <w:jc w:val="center"/>
            </w:pPr>
            <w:r w:rsidRPr="00CB051A">
              <w:rPr>
                <w:sz w:val="22"/>
                <w:szCs w:val="22"/>
                <w:lang w:val="en-US"/>
              </w:rPr>
              <w:t>Eu</w:t>
            </w:r>
            <w:r w:rsidRPr="00CB051A">
              <w:rPr>
                <w:sz w:val="22"/>
                <w:szCs w:val="22"/>
              </w:rPr>
              <w:t>(</w:t>
            </w:r>
            <w:r w:rsidRPr="00CB051A">
              <w:rPr>
                <w:sz w:val="22"/>
                <w:szCs w:val="22"/>
                <w:lang w:val="en-US"/>
              </w:rPr>
              <w:t>Phen</w:t>
            </w:r>
            <w:r w:rsidRPr="00CB051A">
              <w:rPr>
                <w:sz w:val="22"/>
                <w:szCs w:val="22"/>
              </w:rPr>
              <w:t>)</w:t>
            </w:r>
            <w:r w:rsidRPr="00CB051A">
              <w:rPr>
                <w:sz w:val="22"/>
                <w:szCs w:val="22"/>
                <w:vertAlign w:val="subscript"/>
              </w:rPr>
              <w:t>2</w:t>
            </w:r>
            <w:r w:rsidRPr="00CB051A">
              <w:rPr>
                <w:sz w:val="22"/>
                <w:szCs w:val="22"/>
              </w:rPr>
              <w:t>-</w:t>
            </w:r>
            <w:r w:rsidRPr="00CB051A">
              <w:rPr>
                <w:sz w:val="22"/>
                <w:szCs w:val="22"/>
                <w:lang w:val="en-US"/>
              </w:rPr>
              <w:t>PVP</w:t>
            </w:r>
            <w:r w:rsidRPr="00CB051A">
              <w:rPr>
                <w:sz w:val="22"/>
                <w:szCs w:val="22"/>
              </w:rPr>
              <w:t>-</w:t>
            </w:r>
            <w:r w:rsidRPr="00CB051A">
              <w:rPr>
                <w:sz w:val="22"/>
                <w:szCs w:val="22"/>
                <w:lang w:val="en-US"/>
              </w:rPr>
              <w:t>KK</w:t>
            </w:r>
          </w:p>
        </w:tc>
        <w:tc>
          <w:tcPr>
            <w:tcW w:w="1499" w:type="dxa"/>
          </w:tcPr>
          <w:p w14:paraId="46229EF3" w14:textId="53D05A98" w:rsidR="00CB051A" w:rsidRPr="00CB051A" w:rsidRDefault="00CB051A" w:rsidP="00CB051A">
            <w:pPr>
              <w:jc w:val="center"/>
              <w:rPr>
                <w:sz w:val="22"/>
                <w:szCs w:val="22"/>
              </w:rPr>
            </w:pPr>
            <w:r w:rsidRPr="00CB051A">
              <w:rPr>
                <w:sz w:val="22"/>
                <w:szCs w:val="22"/>
              </w:rPr>
              <w:t>19,3</w:t>
            </w:r>
          </w:p>
        </w:tc>
      </w:tr>
      <w:tr w:rsidR="00CB051A" w14:paraId="109B898B" w14:textId="77777777" w:rsidTr="00CB051A">
        <w:trPr>
          <w:jc w:val="center"/>
        </w:trPr>
        <w:tc>
          <w:tcPr>
            <w:tcW w:w="3458" w:type="dxa"/>
          </w:tcPr>
          <w:p w14:paraId="4E840B54" w14:textId="55296700" w:rsidR="00CB051A" w:rsidRPr="00CB051A" w:rsidRDefault="00CB051A" w:rsidP="00CB051A">
            <w:pPr>
              <w:jc w:val="center"/>
              <w:rPr>
                <w:lang w:val="en-US"/>
              </w:rPr>
            </w:pPr>
            <w:r w:rsidRPr="00CB051A">
              <w:rPr>
                <w:sz w:val="22"/>
                <w:szCs w:val="22"/>
                <w:lang w:val="en-US"/>
              </w:rPr>
              <w:t>Eu</w:t>
            </w:r>
            <w:r w:rsidRPr="00CB051A">
              <w:rPr>
                <w:sz w:val="22"/>
                <w:szCs w:val="22"/>
              </w:rPr>
              <w:t>(</w:t>
            </w:r>
            <w:r w:rsidRPr="00CB051A">
              <w:rPr>
                <w:sz w:val="22"/>
                <w:szCs w:val="22"/>
                <w:lang w:val="en-US"/>
              </w:rPr>
              <w:t>Phen</w:t>
            </w:r>
            <w:r w:rsidRPr="00CB051A">
              <w:rPr>
                <w:sz w:val="22"/>
                <w:szCs w:val="22"/>
              </w:rPr>
              <w:t>)</w:t>
            </w:r>
            <w:r w:rsidRPr="00CB051A">
              <w:rPr>
                <w:sz w:val="22"/>
                <w:szCs w:val="22"/>
                <w:vertAlign w:val="subscript"/>
              </w:rPr>
              <w:t>2</w:t>
            </w:r>
            <w:r w:rsidRPr="00CB051A">
              <w:rPr>
                <w:sz w:val="22"/>
                <w:szCs w:val="22"/>
              </w:rPr>
              <w:t>-</w:t>
            </w:r>
            <w:r w:rsidRPr="00CB051A">
              <w:rPr>
                <w:sz w:val="22"/>
                <w:szCs w:val="22"/>
                <w:lang w:val="en-US"/>
              </w:rPr>
              <w:t>HPVP</w:t>
            </w:r>
            <w:r w:rsidRPr="00CB051A">
              <w:rPr>
                <w:sz w:val="22"/>
                <w:szCs w:val="22"/>
              </w:rPr>
              <w:t>-</w:t>
            </w:r>
            <w:r w:rsidRPr="00CB051A">
              <w:rPr>
                <w:sz w:val="22"/>
                <w:szCs w:val="22"/>
                <w:lang w:val="en-US"/>
              </w:rPr>
              <w:t>VAA</w:t>
            </w:r>
          </w:p>
        </w:tc>
        <w:tc>
          <w:tcPr>
            <w:tcW w:w="1499" w:type="dxa"/>
          </w:tcPr>
          <w:p w14:paraId="3AB36E4E" w14:textId="62828677" w:rsidR="00CB051A" w:rsidRPr="00CB051A" w:rsidRDefault="00CB051A" w:rsidP="00CB051A">
            <w:pPr>
              <w:jc w:val="center"/>
              <w:rPr>
                <w:sz w:val="22"/>
                <w:szCs w:val="22"/>
              </w:rPr>
            </w:pPr>
            <w:r w:rsidRPr="00CB051A">
              <w:rPr>
                <w:sz w:val="22"/>
                <w:szCs w:val="22"/>
              </w:rPr>
              <w:t>10,7</w:t>
            </w:r>
          </w:p>
        </w:tc>
      </w:tr>
    </w:tbl>
    <w:p w14:paraId="37EACFE9" w14:textId="77777777" w:rsidR="00CB051A" w:rsidRPr="00A30727" w:rsidRDefault="00CB051A" w:rsidP="00A30727">
      <w:pPr>
        <w:rPr>
          <w:lang w:eastAsia="en-US"/>
        </w:rPr>
      </w:pPr>
    </w:p>
    <w:sectPr w:rsidR="00CB051A" w:rsidRPr="00A307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800"/>
    <w:rsid w:val="00063966"/>
    <w:rsid w:val="00074BA9"/>
    <w:rsid w:val="00086081"/>
    <w:rsid w:val="000D1DA1"/>
    <w:rsid w:val="00101A1C"/>
    <w:rsid w:val="00103657"/>
    <w:rsid w:val="00106375"/>
    <w:rsid w:val="00116478"/>
    <w:rsid w:val="00130241"/>
    <w:rsid w:val="00195292"/>
    <w:rsid w:val="001E61C2"/>
    <w:rsid w:val="001F0493"/>
    <w:rsid w:val="0022069A"/>
    <w:rsid w:val="002264EE"/>
    <w:rsid w:val="0023307C"/>
    <w:rsid w:val="0031361E"/>
    <w:rsid w:val="00391C38"/>
    <w:rsid w:val="003B76D6"/>
    <w:rsid w:val="004A26A3"/>
    <w:rsid w:val="004F0EDF"/>
    <w:rsid w:val="00522BF1"/>
    <w:rsid w:val="005278B9"/>
    <w:rsid w:val="00590166"/>
    <w:rsid w:val="005D022B"/>
    <w:rsid w:val="005E5BE9"/>
    <w:rsid w:val="0069427D"/>
    <w:rsid w:val="006F7A19"/>
    <w:rsid w:val="007213E1"/>
    <w:rsid w:val="007468CE"/>
    <w:rsid w:val="00766D48"/>
    <w:rsid w:val="00775389"/>
    <w:rsid w:val="00797838"/>
    <w:rsid w:val="007C36D8"/>
    <w:rsid w:val="007F2744"/>
    <w:rsid w:val="008931BE"/>
    <w:rsid w:val="008C67E3"/>
    <w:rsid w:val="008E6CB1"/>
    <w:rsid w:val="00921D45"/>
    <w:rsid w:val="00963CF5"/>
    <w:rsid w:val="009A66DB"/>
    <w:rsid w:val="009B2F80"/>
    <w:rsid w:val="009B3300"/>
    <w:rsid w:val="009C4198"/>
    <w:rsid w:val="009F3380"/>
    <w:rsid w:val="00A02163"/>
    <w:rsid w:val="00A30727"/>
    <w:rsid w:val="00A314FE"/>
    <w:rsid w:val="00BF36F8"/>
    <w:rsid w:val="00BF4622"/>
    <w:rsid w:val="00CB051A"/>
    <w:rsid w:val="00CD00B1"/>
    <w:rsid w:val="00D22306"/>
    <w:rsid w:val="00D42542"/>
    <w:rsid w:val="00D8121C"/>
    <w:rsid w:val="00D82145"/>
    <w:rsid w:val="00E22189"/>
    <w:rsid w:val="00E74069"/>
    <w:rsid w:val="00EB1F49"/>
    <w:rsid w:val="00F865B3"/>
    <w:rsid w:val="00F87B5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AFF44FC-3FEB-4914-BD19-ADF1B74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963CF5"/>
    <w:pPr>
      <w:spacing w:after="200"/>
    </w:pPr>
    <w:rPr>
      <w:i/>
      <w:iCs/>
      <w:color w:val="1F497D" w:themeColor="text2"/>
      <w:sz w:val="18"/>
      <w:szCs w:val="18"/>
    </w:rPr>
  </w:style>
  <w:style w:type="table" w:styleId="ac">
    <w:name w:val="Table Grid"/>
    <w:basedOn w:val="a1"/>
    <w:uiPriority w:val="39"/>
    <w:rsid w:val="00CB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domorov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Жидоморова</dc:creator>
  <cp:keywords/>
  <dc:description/>
  <cp:lastModifiedBy>Ксения Жидоморова</cp:lastModifiedBy>
  <cp:revision>3</cp:revision>
  <dcterms:created xsi:type="dcterms:W3CDTF">2024-02-15T09:20:00Z</dcterms:created>
  <dcterms:modified xsi:type="dcterms:W3CDTF">2024-02-15T09:24:00Z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