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bidi w:val="0"/>
        <w:spacing w:lineRule="auto" w:line="240" w:before="0" w:after="0"/>
        <w:ind w:hanging="0" w:start="0" w:end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1F2021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1F2021"/>
          <w:position w:val="0"/>
          <w:sz w:val="24"/>
          <w:sz w:val="24"/>
          <w:szCs w:val="24"/>
          <w:u w:val="none"/>
          <w:shd w:fill="auto" w:val="clear"/>
          <w:vertAlign w:val="baseline"/>
        </w:rPr>
        <w:t>Свойства магнитовосприимчивых гранул биополимера альгината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start="0" w:end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1F2021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1F2021"/>
          <w:position w:val="0"/>
          <w:sz w:val="24"/>
          <w:sz w:val="24"/>
          <w:szCs w:val="24"/>
          <w:u w:val="none"/>
          <w:shd w:fill="auto" w:val="clear"/>
          <w:vertAlign w:val="baseline"/>
        </w:rPr>
        <w:t>Прокопив И.В.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start="0" w:end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1F2021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1F2021"/>
          <w:position w:val="0"/>
          <w:sz w:val="24"/>
          <w:sz w:val="24"/>
          <w:szCs w:val="24"/>
          <w:u w:val="none"/>
          <w:shd w:fill="auto" w:val="clear"/>
          <w:vertAlign w:val="baseline"/>
        </w:rPr>
        <w:t>Студент, 4 курс специалитета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start="0" w:end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1F2021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1F2021"/>
          <w:position w:val="0"/>
          <w:sz w:val="24"/>
          <w:sz w:val="24"/>
          <w:szCs w:val="24"/>
          <w:u w:val="none"/>
          <w:shd w:fill="auto" w:val="clear"/>
          <w:vertAlign w:val="baseline"/>
        </w:rPr>
        <w:t>Московский государственный университет имени М.В.Ломоносова, Физический факультет, Москва, Россия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start="0" w:end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1F2021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1F2021"/>
          <w:position w:val="0"/>
          <w:sz w:val="24"/>
          <w:sz w:val="24"/>
          <w:szCs w:val="24"/>
          <w:u w:val="none"/>
          <w:shd w:fill="auto" w:val="clear"/>
          <w:vertAlign w:val="baseline"/>
        </w:rPr>
        <w:t>prokopiv@polly.phys.msu.ru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firstLine="680" w:start="0" w:end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1F2021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Объектом изучения в настоящей работе являются гранулы альгината натрия. Данный полимер является солью альгиновой кислоты – неразветвленного сополимера, образованного двумя остатками полиуроновых кислот: D-маннуроновой и L-гулуроновой. Её получают, например, из таких водорослей как Laminaria hyperborea, Laminaria japonica, Sargassum vulgare.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1F2021"/>
          <w:position w:val="0"/>
          <w:sz w:val="24"/>
          <w:sz w:val="24"/>
          <w:szCs w:val="24"/>
          <w:u w:val="none"/>
          <w:shd w:fill="auto" w:val="clear"/>
          <w:vertAlign w:val="baseline"/>
        </w:rPr>
        <w:t>Альгинат натрия широко используется в различных сферах промышленности. Например, в пищевой промышленности он часто используется в качестве стабилизатора и загустителя, а в медицинской в качестве антацида [1]. Кроме того, альгинат имеет перспективы применения в нефтедобывающей промышленности, в которой можно использовать магнитовосприимчивые гранулы альгината для создания пробки для контроля водопритоков в скважине [2].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firstLine="680" w:start="0" w:end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1F2021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1F2021"/>
          <w:position w:val="0"/>
          <w:sz w:val="24"/>
          <w:sz w:val="24"/>
          <w:szCs w:val="24"/>
          <w:u w:val="none"/>
          <w:shd w:fill="auto" w:val="clear"/>
          <w:vertAlign w:val="baseline"/>
        </w:rPr>
        <w:t>В работе было изучено набухание гранул при разных условиях. В результате были получены макрогели, образованные из гранул, сконцентрированных в области магнитного поля. Были исследованы закономерности набухания и разрушения гранул при изменении условий их приготовления и состава раствора, в котором они набухают. В первую очередь было рассмотрено набухание гранул в растворах NaCl и NaHCO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1F2021"/>
          <w:sz w:val="24"/>
          <w:szCs w:val="24"/>
          <w:u w:val="none"/>
          <w:shd w:fill="auto" w:val="clear"/>
          <w:vertAlign w:val="subscript"/>
        </w:rPr>
        <w:t>3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1F2021"/>
          <w:position w:val="0"/>
          <w:sz w:val="24"/>
          <w:sz w:val="24"/>
          <w:szCs w:val="24"/>
          <w:u w:val="none"/>
          <w:shd w:fill="auto" w:val="clear"/>
          <w:vertAlign w:val="baseline"/>
        </w:rPr>
        <w:t>, так как грунтовые воды в нефтедобыче содержат большое количество солей. Было замечено, что при предварительной сушке гранул можно добиться большого относительного изменения размеров гранул при набухании. Показано, что для получения макрогеля с хорошими механическим свойствами для образования пробки необходимы пластические деформации, поэтому были использованы предварительно высушенные гранулы двух типов: набухшие в растворе NaHCO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1F2021"/>
          <w:sz w:val="24"/>
          <w:szCs w:val="24"/>
          <w:u w:val="none"/>
          <w:shd w:fill="auto" w:val="clear"/>
          <w:vertAlign w:val="subscript"/>
        </w:rPr>
        <w:t>3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1F202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в течение 10 минут и 20 минут. Таким образом получается «цемент и кирпичи», пластичные и упругие гранулы для «строительства» пробок. Такие пробки получаются практически однородными, а значит способны хорошо блокировать потоки воды. Наконец, было рассмотрено набухание в водно-спиртовой смеси и в углеводороде декане. Поскольку в водно-спиртовой смеси набухания не происходит, то ее можно использовать, например, для хранения гранул.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firstLine="680" w:start="0" w:end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1F2021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1F2021"/>
          <w:position w:val="0"/>
          <w:sz w:val="24"/>
          <w:sz w:val="24"/>
          <w:szCs w:val="24"/>
          <w:u w:val="none"/>
          <w:shd w:fill="auto" w:val="clear"/>
          <w:vertAlign w:val="baseline"/>
        </w:rPr>
        <w:t>Получены магнитные гранулы альгината, и изучено их набухание в растворах солей, в которых часть ионов кальция выходит в раствор, дополнительно увеличивая степень набухания гранул. Были получены макрогели из набухших гранул, сконцентрированных в области действия магнитного поля. Прочные однородные макрогели были получены при комбинировании гранул с разными плотностями сшивки (и степенями набухания). Показано, что в водно-спиртовых смесях и углеводороде (декане) уменьшается степень набухания гранул, так как ухудшается качество растворителя. Полученные гранулы могут быть использованы для селективной блокировки потоков воды в нефтедобывающей скважине за счет образования макрогелевой пробки.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76" w:before="0" w:after="0"/>
        <w:ind w:firstLine="397" w:start="0" w:end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Работа выполнена при финансовой поддержке Российского Научного Фонда (проект 21-73-30013).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start="0" w:end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Литература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1.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Е. Ю. Плотникова - </w:t>
      </w:r>
      <w:r>
        <w:rPr>
          <w:sz w:val="24"/>
          <w:szCs w:val="24"/>
          <w:highlight w:val="white"/>
        </w:rPr>
        <w:t>“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Актуальность антацидов и альгинатов в лечении заболе-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ваний органов пищеварения</w:t>
      </w:r>
      <w:r>
        <w:rPr>
          <w:sz w:val="24"/>
          <w:szCs w:val="24"/>
          <w:highlight w:val="white"/>
        </w:rPr>
        <w:t>” 2015.-N 2.-С.58-63. Библ. 45 назв.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start="0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2.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</w:t>
      </w:r>
      <w:r>
        <w:rPr>
          <w:sz w:val="24"/>
          <w:szCs w:val="24"/>
          <w:highlight w:val="white"/>
        </w:rPr>
        <w:t xml:space="preserve">Philippova, O. &amp; Barabanova, A. &amp; Molchanov, Vyacheslav &amp; Khokhlov, Alexei. (2011). Magnetic polymer beads: Recent trends and developments in synthetic design and applications. European Polymer Journal. 47. 542-559. 10.1016/j.eurpolymj.2010.11.006.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start="0" w:end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start="0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sectPr>
      <w:type w:val="nextPage"/>
      <w:pgSz w:w="11906" w:h="16838"/>
      <w:pgMar w:left="1361" w:right="1361" w:gutter="0" w:header="0" w:top="1134" w:footer="0" w:bottom="113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Segoe UI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Calibri"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Georgia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start"/>
    </w:pPr>
    <w:rPr>
      <w:rFonts w:ascii="Times New Roman" w:hAnsi="Times New Roman" w:eastAsia="NSimSun" w:cs="Lucida Sans"/>
      <w:color w:val="auto"/>
      <w:kern w:val="0"/>
      <w:sz w:val="20"/>
      <w:szCs w:val="20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Style8">
    <w:name w:val="Основной шрифт абзаца"/>
    <w:qFormat/>
    <w:rPr>
      <w:rFonts w:ascii="Times New Roman" w:hAnsi="Times New Roman" w:eastAsia="Times New Roman" w:cs="Times New Roman"/>
      <w:w w:val="100"/>
      <w:position w:val="0"/>
      <w:sz w:val="20"/>
      <w:effect w:val="none"/>
      <w:vertAlign w:val="baseline"/>
      <w:em w:val="none"/>
    </w:rPr>
  </w:style>
  <w:style w:type="character" w:styleId="DefaultParagraphFont">
    <w:name w:val="Default Paragraph Font"/>
    <w:qFormat/>
    <w:rPr>
      <w:rFonts w:ascii="Times New Roman" w:hAnsi="Times New Roman" w:eastAsia="Times New Roman" w:cs="Times New Roman"/>
      <w:w w:val="100"/>
      <w:position w:val="0"/>
      <w:sz w:val="20"/>
      <w:effect w:val="none"/>
      <w:vertAlign w:val="baseline"/>
      <w:em w:val="none"/>
    </w:rPr>
  </w:style>
  <w:style w:type="character" w:styleId="Annotationreference">
    <w:name w:val="annotation reference"/>
    <w:qFormat/>
    <w:rPr>
      <w:rFonts w:ascii="Times New Roman" w:hAnsi="Times New Roman" w:eastAsia="Times New Roman" w:cs="Times New Roman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Style9">
    <w:name w:val="Текст примечания Знак"/>
    <w:qFormat/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Style10">
    <w:name w:val="Тема примечания Знак"/>
    <w:qFormat/>
    <w:rPr>
      <w:rFonts w:ascii="Times New Roman" w:hAnsi="Times New Roman" w:eastAsia="Times New Roman" w:cs="Times New Roman"/>
      <w:b/>
      <w:bCs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Style11">
    <w:name w:val="Текст выноски Знак"/>
    <w:qFormat/>
    <w:rPr>
      <w:rFonts w:ascii="Segoe UI" w:hAnsi="Segoe UI" w:eastAsia="Times New Roman" w:cs="Segoe UI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Style12">
    <w:name w:val="Гиперссылка"/>
    <w:qFormat/>
    <w:rPr>
      <w:rFonts w:ascii="Times New Roman" w:hAnsi="Times New Roman" w:eastAsia="Times New Roman" w:cs="Times New Roman"/>
      <w:color w:val="0000FF"/>
      <w:w w:val="100"/>
      <w:position w:val="0"/>
      <w:sz w:val="20"/>
      <w:u w:val="single"/>
      <w:effect w:val="none"/>
      <w:vertAlign w:val="baseline"/>
      <w:em w:val="none"/>
      <w:lang w:val="und" w:eastAsia="und" w:bidi="und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Style15"/>
    <w:qFormat/>
    <w:pPr>
      <w:suppressAutoHyphens w:val="false"/>
      <w:spacing w:lineRule="auto" w:line="276" w:before="0" w:after="120"/>
      <w:textAlignment w:val="top"/>
    </w:pPr>
    <w:rPr>
      <w:rFonts w:ascii="Times New Roman" w:hAnsi="Times New Roman" w:eastAsia="Times New Roman" w:cs="Times New Roman"/>
      <w:w w:val="100"/>
      <w:sz w:val="22"/>
      <w:szCs w:val="22"/>
      <w:effect w:val="none"/>
      <w:vertAlign w:val="subscript"/>
      <w:em w:val="none"/>
      <w:lang w:val="ru-RU" w:eastAsia="ar-SA" w:bidi="ar-SA"/>
    </w:rPr>
  </w:style>
  <w:style w:type="paragraph" w:styleId="List">
    <w:name w:val="List"/>
    <w:basedOn w:val="BodyText"/>
    <w:qFormat/>
    <w:pPr>
      <w:suppressAutoHyphens w:val="false"/>
      <w:spacing w:lineRule="auto" w:line="276" w:before="0" w:after="120"/>
      <w:textAlignment w:val="top"/>
    </w:pPr>
    <w:rPr>
      <w:rFonts w:ascii="Times New Roman" w:hAnsi="Times New Roman" w:eastAsia="Times New Roman" w:cs="Arial"/>
      <w:w w:val="100"/>
      <w:position w:val="-1"/>
      <w:sz w:val="22"/>
      <w:szCs w:val="22"/>
      <w:effect w:val="none"/>
      <w:em w:val="none"/>
      <w:lang w:val="ru-RU" w:eastAsia="ar-SA" w:bidi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before="0" w:after="0"/>
      <w:jc w:val="start"/>
    </w:pPr>
    <w:rPr>
      <w:rFonts w:ascii="Times New Roman" w:hAnsi="Times New Roman" w:eastAsia="NSimSun" w:cs="Lucida Sans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5">
    <w:name w:val="Обычный"/>
    <w:qFormat/>
    <w:pPr>
      <w:widowControl/>
      <w:suppressAutoHyphens w:val="false"/>
      <w:bidi w:val="0"/>
      <w:spacing w:lineRule="auto" w:line="276" w:before="0" w:after="200"/>
      <w:jc w:val="start"/>
      <w:textAlignment w:val="top"/>
      <w:outlineLvl w:val="0"/>
    </w:pPr>
    <w:rPr>
      <w:rFonts w:ascii="Calibri" w:hAnsi="Calibri" w:eastAsia="SimSun" w:cs=""/>
      <w:color w:val="auto"/>
      <w:w w:val="100"/>
      <w:kern w:val="0"/>
      <w:position w:val="-1"/>
      <w:sz w:val="22"/>
      <w:szCs w:val="22"/>
      <w:effect w:val="none"/>
      <w:em w:val="none"/>
      <w:lang w:val="ru-RU" w:eastAsia="ar-SA" w:bidi="ar-SA"/>
    </w:rPr>
  </w:style>
  <w:style w:type="paragraph" w:styleId="1">
    <w:name w:val="Заголовок1"/>
    <w:basedOn w:val="Style15"/>
    <w:next w:val="BodyText"/>
    <w:qFormat/>
    <w:pPr>
      <w:keepNext w:val="true"/>
      <w:suppressAutoHyphens w:val="false"/>
      <w:spacing w:lineRule="auto" w:line="276" w:before="240" w:after="120"/>
      <w:textAlignment w:val="top"/>
    </w:pPr>
    <w:rPr>
      <w:rFonts w:ascii="Arial" w:hAnsi="Arial" w:eastAsia="Microsoft YaHei" w:cs="Arial"/>
      <w:w w:val="100"/>
      <w:position w:val="-1"/>
      <w:sz w:val="28"/>
      <w:szCs w:val="28"/>
      <w:effect w:val="none"/>
      <w:em w:val="none"/>
      <w:lang w:val="ru-RU" w:eastAsia="ar-SA" w:bidi="ar-SA"/>
    </w:rPr>
  </w:style>
  <w:style w:type="paragraph" w:styleId="11">
    <w:name w:val="Название1"/>
    <w:basedOn w:val="Style15"/>
    <w:qFormat/>
    <w:pPr>
      <w:suppressLineNumbers/>
      <w:suppressAutoHyphens w:val="false"/>
      <w:spacing w:lineRule="auto" w:line="276" w:before="120" w:after="120"/>
      <w:textAlignment w:val="top"/>
    </w:pPr>
    <w:rPr>
      <w:rFonts w:ascii="Times New Roman" w:hAnsi="Times New Roman" w:eastAsia="Times New Roman" w:cs="Arial"/>
      <w:i/>
      <w:iCs/>
      <w:w w:val="100"/>
      <w:position w:val="-1"/>
      <w:sz w:val="24"/>
      <w:szCs w:val="24"/>
      <w:effect w:val="none"/>
      <w:em w:val="none"/>
      <w:lang w:val="ru-RU" w:eastAsia="ar-SA" w:bidi="ar-SA"/>
    </w:rPr>
  </w:style>
  <w:style w:type="paragraph" w:styleId="12">
    <w:name w:val="Указатель1"/>
    <w:basedOn w:val="Style15"/>
    <w:qFormat/>
    <w:pPr>
      <w:suppressLineNumbers/>
      <w:suppressAutoHyphens w:val="false"/>
      <w:spacing w:lineRule="auto" w:line="276" w:before="0" w:after="200"/>
      <w:textAlignment w:val="top"/>
    </w:pPr>
    <w:rPr>
      <w:rFonts w:ascii="Times New Roman" w:hAnsi="Times New Roman" w:eastAsia="Times New Roman" w:cs="Arial"/>
      <w:w w:val="100"/>
      <w:position w:val="-1"/>
      <w:sz w:val="22"/>
      <w:szCs w:val="22"/>
      <w:effect w:val="none"/>
      <w:em w:val="none"/>
      <w:lang w:val="ru-RU" w:eastAsia="ar-SA" w:bidi="ar-SA"/>
    </w:rPr>
  </w:style>
  <w:style w:type="paragraph" w:styleId="Annotationtext">
    <w:name w:val="annotation text"/>
    <w:basedOn w:val="Style15"/>
    <w:qFormat/>
    <w:pPr>
      <w:numPr>
        <w:ilvl w:val="0"/>
        <w:numId w:val="0"/>
      </w:numPr>
      <w:suppressAutoHyphens w:val="false"/>
      <w:spacing w:lineRule="atLeast" w:line="100" w:before="0" w:after="200"/>
      <w:textAlignment w:val="top"/>
    </w:pPr>
    <w:rPr>
      <w:rFonts w:ascii="Times New Roman" w:hAnsi="Times New Roman" w:eastAsia="Times New Roman" w:cs="Times New Roman"/>
      <w:w w:val="100"/>
      <w:position w:val="-1"/>
      <w:sz w:val="20"/>
      <w:szCs w:val="20"/>
      <w:effect w:val="none"/>
      <w:em w:val="none"/>
      <w:lang w:val="ru-RU" w:eastAsia="ar-SA" w:bidi="ar-SA"/>
    </w:rPr>
  </w:style>
  <w:style w:type="paragraph" w:styleId="Annotationsubject">
    <w:name w:val="annotation subject"/>
    <w:basedOn w:val="Annotationtext"/>
    <w:qFormat/>
    <w:pPr>
      <w:numPr>
        <w:ilvl w:val="0"/>
        <w:numId w:val="0"/>
      </w:numPr>
      <w:suppressAutoHyphens w:val="false"/>
      <w:spacing w:lineRule="atLeast" w:line="100" w:before="0" w:after="200"/>
      <w:textAlignment w:val="top"/>
    </w:pPr>
    <w:rPr>
      <w:rFonts w:ascii="Times New Roman" w:hAnsi="Times New Roman" w:eastAsia="Times New Roman" w:cs="Times New Roman"/>
      <w:b/>
      <w:bCs/>
      <w:w w:val="100"/>
      <w:position w:val="-1"/>
      <w:sz w:val="20"/>
      <w:szCs w:val="20"/>
      <w:effect w:val="none"/>
      <w:em w:val="none"/>
      <w:lang w:val="ru-RU" w:eastAsia="ar-SA" w:bidi="ar-SA"/>
    </w:rPr>
  </w:style>
  <w:style w:type="paragraph" w:styleId="BalloonText">
    <w:name w:val="Balloon Text"/>
    <w:basedOn w:val="Style15"/>
    <w:qFormat/>
    <w:pPr>
      <w:numPr>
        <w:ilvl w:val="0"/>
        <w:numId w:val="0"/>
      </w:numPr>
      <w:suppressAutoHyphens w:val="false"/>
      <w:spacing w:lineRule="atLeast" w:line="100" w:before="0" w:after="0"/>
      <w:textAlignment w:val="top"/>
    </w:pPr>
    <w:rPr>
      <w:rFonts w:ascii="Segoe UI" w:hAnsi="Segoe UI" w:eastAsia="Times New Roman" w:cs="Segoe UI"/>
      <w:w w:val="100"/>
      <w:position w:val="-1"/>
      <w:sz w:val="18"/>
      <w:szCs w:val="18"/>
      <w:effect w:val="none"/>
      <w:em w:val="none"/>
      <w:lang w:val="ru-RU" w:eastAsia="ar-SA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tyle16">
    <w:name w:val="Нет списка"/>
    <w:qFormat/>
  </w:style>
  <w:style w:type="table" w:default="1" w:styleId="TableNormal">
    <w:name w:val="Table Normal"/>
  </w:style>
  <w:style w:type="table" w:styleId="Обычнаятаблица">
    <w:name w:val="Обычная таблица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w6ZVHxW9O0W8xNfpOmv+WoQxpeg==">CgMxLjA4AHIhMWQwUWVMTnRYVjBoQ3pRN2Nub3dPMW94NGRIWnVIeVlO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LibreOffice/7.6.4.1$Windows_X86_64 LibreOffice_project/e19e193f88cd6c0525a17fb7a176ed8e6a3e2aa1</Application>
  <AppVersion>15.0000</AppVersion>
  <DocSecurity>0</DocSecurity>
  <Pages>1</Pages>
  <Words>423</Words>
  <Characters>3017</Characters>
  <CharactersWithSpaces>3432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2024-02-16T11:39:00Z</dcterms:created>
  <dc:creator>Ann</dc:creator>
  <dc:description/>
  <dc:language>ru-RU</dc:language>
  <cp:lastModifiedBy/>
  <dcterms:modified xsi:type="dcterms:W3CDTF">2024-02-16T22:10:02Z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abf5acd8104d45f99c66146c1ba47688</vt:lpwstr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