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315D9A24" w:rsidR="00797838" w:rsidRDefault="006D15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Моделирование механизма реакций </w:t>
      </w:r>
      <w:r w:rsidRPr="006D15DA">
        <w:rPr>
          <w:b/>
          <w:color w:val="000000"/>
        </w:rPr>
        <w:t>[1,5]-</w:t>
      </w:r>
      <w:proofErr w:type="spellStart"/>
      <w:r>
        <w:rPr>
          <w:b/>
          <w:color w:val="000000"/>
        </w:rPr>
        <w:t>гидридного</w:t>
      </w:r>
      <w:proofErr w:type="spellEnd"/>
      <w:r>
        <w:rPr>
          <w:b/>
          <w:color w:val="000000"/>
        </w:rPr>
        <w:t xml:space="preserve"> сдвига</w:t>
      </w:r>
    </w:p>
    <w:p w14:paraId="00000002" w14:textId="32F8C885" w:rsidR="00130241" w:rsidRDefault="006D15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Мезенцев-Черкес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2EACE65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D15DA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  <w:r w:rsidR="006D15DA">
        <w:rPr>
          <w:i/>
          <w:color w:val="000000"/>
        </w:rPr>
        <w:t>химического факультета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F844E5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6D15DA" w:rsidRPr="00867B66">
          <w:rPr>
            <w:rStyle w:val="a9"/>
            <w:i/>
            <w:lang w:val="en-US"/>
          </w:rPr>
          <w:t>muradellyivan</w:t>
        </w:r>
        <w:r w:rsidR="006D15DA" w:rsidRPr="00867B66">
          <w:rPr>
            <w:rStyle w:val="a9"/>
            <w:i/>
          </w:rPr>
          <w:t>@</w:t>
        </w:r>
        <w:r w:rsidR="006D15DA" w:rsidRPr="00867B66">
          <w:rPr>
            <w:rStyle w:val="a9"/>
            <w:i/>
            <w:lang w:val="en-US"/>
          </w:rPr>
          <w:t>gmail</w:t>
        </w:r>
        <w:r w:rsidR="006D15DA" w:rsidRPr="00867B66">
          <w:rPr>
            <w:rStyle w:val="a9"/>
            <w:i/>
          </w:rPr>
          <w:t>.</w:t>
        </w:r>
        <w:r w:rsidR="006D15DA" w:rsidRPr="00867B66">
          <w:rPr>
            <w:rStyle w:val="a9"/>
            <w:i/>
            <w:lang w:val="en-US"/>
          </w:rPr>
          <w:t>com</w:t>
        </w:r>
      </w:hyperlink>
    </w:p>
    <w:p w14:paraId="178EC57C" w14:textId="7B08A862" w:rsidR="008B3D6B" w:rsidRPr="00BA5855" w:rsidRDefault="008B3D6B" w:rsidP="008B3D6B">
      <w:pPr>
        <w:ind w:firstLine="562"/>
        <w:jc w:val="both"/>
      </w:pPr>
      <w:r w:rsidRPr="008B3D6B">
        <w:t xml:space="preserve">Современные тенденции в органической химии обусловлены разработкой эффективных синтетических методов с высокой атомной эффективностью, с акцентом на принципах зеленой химии. Относящиеся к ним </w:t>
      </w:r>
      <w:proofErr w:type="spellStart"/>
      <w:r w:rsidRPr="008B3D6B">
        <w:t>редокс</w:t>
      </w:r>
      <w:proofErr w:type="spellEnd"/>
      <w:r w:rsidRPr="008B3D6B">
        <w:t>-нейтральные реакции</w:t>
      </w:r>
      <w:r w:rsidRPr="008B3D6B">
        <w:rPr>
          <w:rStyle w:val="rynqvb"/>
        </w:rPr>
        <w:t xml:space="preserve"> не требуют использования внешних реагентов, кроме катализаторов, и полностью сохраняют все атомы, присутствующие в молекуле</w:t>
      </w:r>
      <w:r w:rsidR="00BA5855" w:rsidRPr="00BA5855">
        <w:rPr>
          <w:rStyle w:val="rynqvb"/>
        </w:rPr>
        <w:t xml:space="preserve"> [1]</w:t>
      </w:r>
      <w:r w:rsidRPr="008B3D6B">
        <w:t>. Примером такой реа</w:t>
      </w:r>
      <w:bookmarkStart w:id="0" w:name="_GoBack"/>
      <w:bookmarkEnd w:id="0"/>
      <w:r w:rsidRPr="008B3D6B">
        <w:t>кции является [1,5]-</w:t>
      </w:r>
      <w:proofErr w:type="spellStart"/>
      <w:r w:rsidRPr="008B3D6B">
        <w:t>гидридный</w:t>
      </w:r>
      <w:proofErr w:type="spellEnd"/>
      <w:r w:rsidRPr="008B3D6B">
        <w:t xml:space="preserve"> сдвиг. Этот процесс </w:t>
      </w:r>
      <w:r w:rsidRPr="008B3D6B">
        <w:rPr>
          <w:rStyle w:val="rynqvb"/>
        </w:rPr>
        <w:t xml:space="preserve">можно описать как сайт-селективную активацию </w:t>
      </w:r>
      <w:r w:rsidRPr="008B3D6B">
        <w:t xml:space="preserve">связи </w:t>
      </w:r>
      <w:r w:rsidRPr="008B3D6B">
        <w:rPr>
          <w:rStyle w:val="rynqvb"/>
        </w:rPr>
        <w:t>C(sp</w:t>
      </w:r>
      <w:r w:rsidRPr="008B3D6B">
        <w:rPr>
          <w:rStyle w:val="rynqvb"/>
          <w:vertAlign w:val="superscript"/>
        </w:rPr>
        <w:t>3</w:t>
      </w:r>
      <w:r w:rsidRPr="008B3D6B">
        <w:rPr>
          <w:rStyle w:val="rynqvb"/>
        </w:rPr>
        <w:t>)–H</w:t>
      </w:r>
      <w:r w:rsidRPr="008B3D6B">
        <w:t xml:space="preserve"> третичной аминогруппы, что открывает путь для активации отдаленных позиций в молекулах, а образующиеся в результате этих превращений </w:t>
      </w:r>
      <w:proofErr w:type="spellStart"/>
      <w:r w:rsidRPr="008B3D6B">
        <w:t>спиро</w:t>
      </w:r>
      <w:proofErr w:type="spellEnd"/>
      <w:r w:rsidRPr="008B3D6B">
        <w:t xml:space="preserve">- и </w:t>
      </w:r>
      <w:proofErr w:type="spellStart"/>
      <w:r w:rsidRPr="008B3D6B">
        <w:t>бициклосоединения</w:t>
      </w:r>
      <w:proofErr w:type="spellEnd"/>
      <w:r w:rsidRPr="008B3D6B">
        <w:t xml:space="preserve"> часто обладают выраженной биологической активностью, что делает их востребованными в области медицинской химии</w:t>
      </w:r>
      <w:r w:rsidR="00BA5855" w:rsidRPr="00BA5855">
        <w:t xml:space="preserve"> [2]</w:t>
      </w:r>
      <w:r w:rsidRPr="008B3D6B">
        <w:t>.</w:t>
      </w:r>
    </w:p>
    <w:p w14:paraId="3C68F2D5" w14:textId="77777777" w:rsidR="008B3D6B" w:rsidRDefault="008B3D6B" w:rsidP="008B3D6B">
      <w:pPr>
        <w:pStyle w:val="aa"/>
        <w:spacing w:before="0" w:beforeAutospacing="0" w:after="0" w:afterAutospacing="0"/>
        <w:ind w:firstLine="403"/>
        <w:jc w:val="both"/>
      </w:pPr>
      <w:r>
        <w:t>Данная работа фокусируется на исследовании механизма [1,5]-</w:t>
      </w:r>
      <w:proofErr w:type="spellStart"/>
      <w:r>
        <w:t>гидридного</w:t>
      </w:r>
      <w:proofErr w:type="spellEnd"/>
      <w:r>
        <w:t xml:space="preserve"> сдвига в условиях фотоиндуцированной реакции. Методом XMCQDPT2/SA(4)-CASSCF(14,13)/(</w:t>
      </w:r>
      <w:proofErr w:type="spellStart"/>
      <w:r>
        <w:t>aug</w:t>
      </w:r>
      <w:proofErr w:type="spellEnd"/>
      <w:r>
        <w:t>)-</w:t>
      </w:r>
      <w:proofErr w:type="spellStart"/>
      <w:r>
        <w:t>cc-pVDZ</w:t>
      </w:r>
      <w:proofErr w:type="spellEnd"/>
      <w:r>
        <w:t xml:space="preserve">, используя </w:t>
      </w:r>
      <w:proofErr w:type="spellStart"/>
      <w:r>
        <w:t>фотоциклизацию</w:t>
      </w:r>
      <w:proofErr w:type="spellEnd"/>
      <w:r>
        <w:t xml:space="preserve"> 2-(2-(</w:t>
      </w:r>
      <w:proofErr w:type="spellStart"/>
      <w:r>
        <w:t>диметиламино</w:t>
      </w:r>
      <w:proofErr w:type="spellEnd"/>
      <w:r>
        <w:t>)</w:t>
      </w:r>
      <w:proofErr w:type="spellStart"/>
      <w:proofErr w:type="gramStart"/>
      <w:r>
        <w:t>бензилиден</w:t>
      </w:r>
      <w:proofErr w:type="spellEnd"/>
      <w:r>
        <w:t>)</w:t>
      </w:r>
      <w:proofErr w:type="spellStart"/>
      <w:r>
        <w:t>малоновой</w:t>
      </w:r>
      <w:proofErr w:type="spellEnd"/>
      <w:proofErr w:type="gramEnd"/>
      <w:r>
        <w:t xml:space="preserve"> кислоты, установлен механизм реакции и проанализировано изменение электронной плотности в ходе химического превращения.</w:t>
      </w:r>
    </w:p>
    <w:p w14:paraId="2138A7A7" w14:textId="77777777" w:rsidR="008B3D6B" w:rsidRDefault="008B3D6B" w:rsidP="008B3D6B">
      <w:pPr>
        <w:pStyle w:val="aa"/>
        <w:spacing w:before="0" w:beforeAutospacing="0" w:after="0" w:afterAutospacing="0"/>
        <w:ind w:firstLine="403"/>
        <w:jc w:val="both"/>
      </w:pPr>
      <w:r>
        <w:t>Рассчитанные энергии вертикальных переходов молекулы в геометрии основного состояния позволили определить электронно-возбужденное состояние, участвующее в реакции. Результаты подтверждают, что реакция протекает в электронно-возбужденном состоянии S</w:t>
      </w:r>
      <w:r w:rsidRPr="008B3D6B">
        <w:rPr>
          <w:vertAlign w:val="subscript"/>
        </w:rPr>
        <w:t>1</w:t>
      </w:r>
      <w:r>
        <w:t>, с участием состояния S</w:t>
      </w:r>
      <w:r w:rsidRPr="008B3D6B">
        <w:rPr>
          <w:vertAlign w:val="subscript"/>
        </w:rPr>
        <w:t>2</w:t>
      </w:r>
      <w:r>
        <w:t xml:space="preserve"> в области переходного состояния. Этот фотоиндуцированный механизм представляет собой ступенчатый процесс, отличный от каталитического механизма [1,5]-</w:t>
      </w:r>
      <w:proofErr w:type="spellStart"/>
      <w:r>
        <w:t>гидридного</w:t>
      </w:r>
      <w:proofErr w:type="spellEnd"/>
      <w:r>
        <w:t xml:space="preserve"> сдвига.</w:t>
      </w:r>
    </w:p>
    <w:p w14:paraId="15847615" w14:textId="77777777" w:rsidR="008B3D6B" w:rsidRDefault="008B3D6B" w:rsidP="008B3D6B">
      <w:pPr>
        <w:pStyle w:val="aa"/>
        <w:spacing w:before="0" w:beforeAutospacing="0" w:after="0" w:afterAutospacing="0"/>
        <w:ind w:firstLine="403"/>
        <w:jc w:val="both"/>
      </w:pPr>
      <w:r>
        <w:t>Исходя из анализа механизма реакции трет-</w:t>
      </w:r>
      <w:proofErr w:type="spellStart"/>
      <w:r>
        <w:t>аминоэффекта</w:t>
      </w:r>
      <w:proofErr w:type="spellEnd"/>
      <w:r>
        <w:t xml:space="preserve">, сравнения длин волн поглощения, и распределения электронных плотностей, предложен механизм, включающий две стадии: первая - перенос электрона и </w:t>
      </w:r>
      <w:proofErr w:type="spellStart"/>
      <w:r>
        <w:t>неадиабатический</w:t>
      </w:r>
      <w:proofErr w:type="spellEnd"/>
      <w:r>
        <w:t xml:space="preserve"> перенос атома водорода через коническое пересечение S</w:t>
      </w:r>
      <w:r w:rsidRPr="008B3D6B">
        <w:rPr>
          <w:vertAlign w:val="subscript"/>
        </w:rPr>
        <w:t>1</w:t>
      </w:r>
      <w:r>
        <w:t>/S</w:t>
      </w:r>
      <w:r w:rsidRPr="008B3D6B">
        <w:rPr>
          <w:vertAlign w:val="subscript"/>
        </w:rPr>
        <w:t>0</w:t>
      </w:r>
      <w:r>
        <w:t>, вторая - циклизация интермедиата на поверхности S</w:t>
      </w:r>
      <w:r w:rsidRPr="008B3D6B">
        <w:rPr>
          <w:vertAlign w:val="subscript"/>
        </w:rPr>
        <w:t>0</w:t>
      </w:r>
      <w:r>
        <w:t>.</w:t>
      </w:r>
    </w:p>
    <w:p w14:paraId="69B88163" w14:textId="49A5A60E" w:rsidR="006D15DA" w:rsidRDefault="008B3D6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30BF7">
        <w:rPr>
          <w:sz w:val="22"/>
        </w:rPr>
        <w:object w:dxaOrig="10085" w:dyaOrig="1623" w14:anchorId="234FD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5pt;mso-position-horizontal:absolute" o:ole="">
            <v:imagedata r:id="rId7" o:title=""/>
          </v:shape>
          <o:OLEObject Type="Embed" ProgID="ChemDraw.Document.6.0" ShapeID="_x0000_i1025" DrawAspect="Content" ObjectID="_1772018621" r:id="rId8"/>
        </w:object>
      </w:r>
    </w:p>
    <w:p w14:paraId="0A6AF433" w14:textId="50BE945F" w:rsidR="006D15DA" w:rsidRDefault="005C42FC" w:rsidP="005C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34C5">
        <w:t xml:space="preserve">Рис. 1. </w:t>
      </w:r>
      <w:r w:rsidRPr="00730BF7">
        <w:rPr>
          <w:sz w:val="22"/>
          <w:szCs w:val="22"/>
        </w:rPr>
        <w:t>Фотоиндуцированный механизм реакции [1,5]-</w:t>
      </w:r>
      <w:proofErr w:type="spellStart"/>
      <w:r w:rsidRPr="00730BF7">
        <w:rPr>
          <w:sz w:val="22"/>
          <w:szCs w:val="22"/>
        </w:rPr>
        <w:t>гидридного</w:t>
      </w:r>
      <w:proofErr w:type="spellEnd"/>
      <w:r w:rsidRPr="00730BF7">
        <w:rPr>
          <w:sz w:val="22"/>
          <w:szCs w:val="22"/>
        </w:rPr>
        <w:t xml:space="preserve"> сдвига</w:t>
      </w:r>
      <w:r>
        <w:t>.</w:t>
      </w:r>
    </w:p>
    <w:p w14:paraId="3FECD299" w14:textId="77777777" w:rsidR="00300897" w:rsidRDefault="00300897" w:rsidP="0030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 благодарен научному руководителю </w:t>
      </w:r>
      <w:proofErr w:type="spellStart"/>
      <w:r>
        <w:rPr>
          <w:i/>
          <w:iCs/>
          <w:color w:val="000000"/>
        </w:rPr>
        <w:t>Боченковой</w:t>
      </w:r>
      <w:proofErr w:type="spellEnd"/>
      <w:r>
        <w:rPr>
          <w:i/>
          <w:iCs/>
          <w:color w:val="000000"/>
        </w:rPr>
        <w:t xml:space="preserve"> А.В. 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Ломоносова, а также вычислительного кластера лаборатории квантовой фотодинамики, закупленного по программе развития МГУ имени М.В. Ломоносова.</w:t>
      </w:r>
    </w:p>
    <w:p w14:paraId="4D94296E" w14:textId="32068A1A" w:rsidR="005C42FC" w:rsidRPr="00D176BC" w:rsidRDefault="005C42FC" w:rsidP="0030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030517C" w14:textId="77777777" w:rsidR="005C42FC" w:rsidRDefault="005C42FC" w:rsidP="005C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126F0F">
        <w:rPr>
          <w:color w:val="000000"/>
          <w:lang w:val="en-US"/>
        </w:rPr>
        <w:t xml:space="preserve">Tsai J.-C., Chen Y.-P. Application of a volume-translated Peng-Robinson equation of state on vapor-liquid equilibrium calculations // Fluid Phase </w:t>
      </w:r>
      <w:proofErr w:type="spellStart"/>
      <w:r w:rsidRPr="00126F0F">
        <w:rPr>
          <w:color w:val="000000"/>
          <w:lang w:val="en-US"/>
        </w:rPr>
        <w:t>Equilib</w:t>
      </w:r>
      <w:proofErr w:type="spellEnd"/>
      <w:r w:rsidRPr="00126F0F">
        <w:rPr>
          <w:color w:val="000000"/>
          <w:lang w:val="en-US"/>
        </w:rPr>
        <w:t xml:space="preserve">. </w:t>
      </w:r>
      <w:r w:rsidRPr="00116478">
        <w:rPr>
          <w:color w:val="000000"/>
          <w:lang w:val="en-US"/>
        </w:rPr>
        <w:t>1998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 145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>. 193-215.</w:t>
      </w:r>
    </w:p>
    <w:p w14:paraId="48B2D0DF" w14:textId="77777777" w:rsidR="005C42FC" w:rsidRPr="00116478" w:rsidRDefault="005C42FC" w:rsidP="005C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116478">
        <w:rPr>
          <w:noProof/>
          <w:lang w:val="en-US"/>
        </w:rPr>
        <w:t xml:space="preserve">CRC Handbook of Chemistry and Physics. </w:t>
      </w:r>
      <w:r>
        <w:rPr>
          <w:noProof/>
          <w:lang w:val="en-US"/>
        </w:rPr>
        <w:t>102</w:t>
      </w:r>
      <w:r w:rsidRPr="0031361E">
        <w:rPr>
          <w:noProof/>
          <w:vertAlign w:val="superscript"/>
          <w:lang w:val="en-US"/>
        </w:rPr>
        <w:t>nd</w:t>
      </w:r>
      <w:r w:rsidRPr="00116478">
        <w:rPr>
          <w:noProof/>
          <w:lang w:val="en-US"/>
        </w:rPr>
        <w:t xml:space="preserve"> Ed. / ed. </w:t>
      </w:r>
      <w:r>
        <w:rPr>
          <w:noProof/>
          <w:lang w:val="en-US"/>
        </w:rPr>
        <w:t>Rumble J.R.</w:t>
      </w:r>
      <w:r w:rsidRPr="00116478">
        <w:rPr>
          <w:noProof/>
          <w:lang w:val="en-US"/>
        </w:rPr>
        <w:t xml:space="preserve"> Boca Raton, FL: CRC Press, 20</w:t>
      </w:r>
      <w:r>
        <w:rPr>
          <w:noProof/>
          <w:lang w:val="en-US"/>
        </w:rPr>
        <w:t>21</w:t>
      </w:r>
      <w:r w:rsidRPr="00116478">
        <w:rPr>
          <w:noProof/>
          <w:lang w:val="en-US"/>
        </w:rPr>
        <w:t>.</w:t>
      </w:r>
    </w:p>
    <w:p w14:paraId="35983838" w14:textId="13B6EB99" w:rsidR="00BA5855" w:rsidRPr="00BA5855" w:rsidRDefault="00BA5855" w:rsidP="00BA5855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a-size-base"/>
          <w:rFonts w:ascii="Times New Roman" w:hAnsi="Times New Roman"/>
          <w:szCs w:val="24"/>
          <w:lang w:val="en-US"/>
        </w:rPr>
      </w:pPr>
      <w:r w:rsidRPr="00BA5855">
        <w:rPr>
          <w:rFonts w:ascii="Times New Roman" w:hAnsi="Times New Roman"/>
          <w:szCs w:val="24"/>
          <w:lang w:val="en-US"/>
        </w:rPr>
        <w:t xml:space="preserve">[1] Peng B., </w:t>
      </w:r>
      <w:proofErr w:type="spellStart"/>
      <w:r w:rsidRPr="00BA5855">
        <w:rPr>
          <w:rFonts w:ascii="Times New Roman" w:hAnsi="Times New Roman"/>
          <w:szCs w:val="24"/>
          <w:lang w:val="en-US"/>
        </w:rPr>
        <w:t>Maulide</w:t>
      </w:r>
      <w:proofErr w:type="spellEnd"/>
      <w:r w:rsidRPr="00BA5855">
        <w:rPr>
          <w:rFonts w:ascii="Times New Roman" w:hAnsi="Times New Roman"/>
          <w:szCs w:val="24"/>
          <w:lang w:val="en-US"/>
        </w:rPr>
        <w:t xml:space="preserve"> N. The Redox-Neutral Approach to C-H Functionalization // Chem. - A Eur. J. 2013, P. 19.</w:t>
      </w:r>
    </w:p>
    <w:p w14:paraId="2BB19549" w14:textId="1F9627FF" w:rsidR="00BA5855" w:rsidRPr="00BA5855" w:rsidRDefault="00BA5855" w:rsidP="00BA58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A5855">
        <w:rPr>
          <w:color w:val="000000"/>
          <w:lang w:val="en-US"/>
        </w:rPr>
        <w:t>[</w:t>
      </w:r>
      <w:r>
        <w:rPr>
          <w:color w:val="000000"/>
          <w:lang w:val="en-US"/>
        </w:rPr>
        <w:t>2</w:t>
      </w:r>
      <w:r w:rsidRPr="00BA5855">
        <w:rPr>
          <w:color w:val="000000"/>
          <w:lang w:val="en-US"/>
        </w:rPr>
        <w:t xml:space="preserve">] Zheng, Y.; Tice, C. M.; Singh, S. B. The Use of </w:t>
      </w:r>
      <w:proofErr w:type="spellStart"/>
      <w:r w:rsidRPr="00BA5855">
        <w:rPr>
          <w:color w:val="000000"/>
          <w:lang w:val="en-US"/>
        </w:rPr>
        <w:t>Spirocyclic</w:t>
      </w:r>
      <w:proofErr w:type="spellEnd"/>
      <w:r w:rsidRPr="00BA5855">
        <w:rPr>
          <w:color w:val="000000"/>
          <w:lang w:val="en-US"/>
        </w:rPr>
        <w:t xml:space="preserve"> Scaffolds in Drug Discovery // Bioorganic Med. </w:t>
      </w:r>
      <w:proofErr w:type="spellStart"/>
      <w:r w:rsidRPr="00BA5855">
        <w:rPr>
          <w:color w:val="000000"/>
          <w:lang w:val="en-US"/>
        </w:rPr>
        <w:t>Chem</w:t>
      </w:r>
      <w:proofErr w:type="spellEnd"/>
      <w:r w:rsidRPr="00BA5855">
        <w:rPr>
          <w:color w:val="000000"/>
        </w:rPr>
        <w:t xml:space="preserve">. </w:t>
      </w:r>
      <w:r w:rsidRPr="00BA5855">
        <w:rPr>
          <w:color w:val="000000"/>
          <w:lang w:val="en-US"/>
        </w:rPr>
        <w:t>Lett</w:t>
      </w:r>
      <w:r w:rsidRPr="00BA5855">
        <w:rPr>
          <w:color w:val="000000"/>
        </w:rPr>
        <w:t xml:space="preserve">. 2014, </w:t>
      </w:r>
      <w:r w:rsidRPr="00BA5855">
        <w:rPr>
          <w:color w:val="000000"/>
          <w:lang w:val="en-US"/>
        </w:rPr>
        <w:t>P</w:t>
      </w:r>
      <w:r w:rsidRPr="00BA5855">
        <w:rPr>
          <w:color w:val="000000"/>
        </w:rPr>
        <w:t xml:space="preserve"> 24.</w:t>
      </w:r>
    </w:p>
    <w:p w14:paraId="51E9DE2C" w14:textId="13FD21A4" w:rsidR="00BA5855" w:rsidRPr="00BA5855" w:rsidRDefault="00BA58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BA5855" w:rsidRPr="00BA58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0897"/>
    <w:rsid w:val="0031361E"/>
    <w:rsid w:val="00391C38"/>
    <w:rsid w:val="003B76D6"/>
    <w:rsid w:val="004A26A3"/>
    <w:rsid w:val="004F0EDF"/>
    <w:rsid w:val="00522BF1"/>
    <w:rsid w:val="00590166"/>
    <w:rsid w:val="005C42FC"/>
    <w:rsid w:val="005D022B"/>
    <w:rsid w:val="005E5BE9"/>
    <w:rsid w:val="0069427D"/>
    <w:rsid w:val="006D15DA"/>
    <w:rsid w:val="006F7A19"/>
    <w:rsid w:val="007213E1"/>
    <w:rsid w:val="00775389"/>
    <w:rsid w:val="00797838"/>
    <w:rsid w:val="007C36D8"/>
    <w:rsid w:val="007F2744"/>
    <w:rsid w:val="008931BE"/>
    <w:rsid w:val="008B3D6B"/>
    <w:rsid w:val="008C67E3"/>
    <w:rsid w:val="00921D45"/>
    <w:rsid w:val="009A66DB"/>
    <w:rsid w:val="009B2F80"/>
    <w:rsid w:val="009B3300"/>
    <w:rsid w:val="009F3380"/>
    <w:rsid w:val="00A02163"/>
    <w:rsid w:val="00A314FE"/>
    <w:rsid w:val="00BA5855"/>
    <w:rsid w:val="00BF36F8"/>
    <w:rsid w:val="00BF4622"/>
    <w:rsid w:val="00CD00B1"/>
    <w:rsid w:val="00D176BC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B3D6B"/>
    <w:pPr>
      <w:spacing w:before="100" w:beforeAutospacing="1" w:after="100" w:afterAutospacing="1"/>
    </w:pPr>
  </w:style>
  <w:style w:type="character" w:customStyle="1" w:styleId="rynqvb">
    <w:name w:val="rynqvb"/>
    <w:rsid w:val="008B3D6B"/>
  </w:style>
  <w:style w:type="paragraph" w:customStyle="1" w:styleId="Ab">
    <w:name w:val="Текстовый блок A"/>
    <w:rsid w:val="00BA5855"/>
    <w:rPr>
      <w:rFonts w:ascii="Helvetica" w:eastAsia="ヒラギノ角ゴ Pro W3" w:hAnsi="Helvetica" w:cs="Times New Roman"/>
      <w:color w:val="000000"/>
      <w:sz w:val="24"/>
    </w:rPr>
  </w:style>
  <w:style w:type="character" w:customStyle="1" w:styleId="a-size-base">
    <w:name w:val="a-size-base"/>
    <w:rsid w:val="00BA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adellyiva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8D542-0B62-4BC5-B8E4-64887AA0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2022-11-07T09:18:00Z</dcterms:created>
  <dcterms:modified xsi:type="dcterms:W3CDTF">2024-03-15T11:37:00Z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