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7091" w14:textId="3FFEC2CD" w:rsidR="004039BF" w:rsidRPr="004039BF" w:rsidRDefault="004039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 xml:space="preserve">Молекулярное моделирование реакции фосфорилирования </w:t>
      </w:r>
      <w:r w:rsidR="0081254F">
        <w:rPr>
          <w:b/>
          <w:color w:val="000000"/>
        </w:rPr>
        <w:t xml:space="preserve">в активном центре </w:t>
      </w:r>
      <w:proofErr w:type="spellStart"/>
      <w:r w:rsidR="0081254F">
        <w:rPr>
          <w:b/>
          <w:color w:val="000000"/>
        </w:rPr>
        <w:t>протеинкиназы</w:t>
      </w:r>
      <w:proofErr w:type="spellEnd"/>
    </w:p>
    <w:p w14:paraId="00000002" w14:textId="6B79D09C" w:rsidR="00130241" w:rsidRDefault="004039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Леонова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 w:rsidR="0081254F" w:rsidRPr="0081254F">
        <w:rPr>
          <w:b/>
          <w:i/>
          <w:color w:val="000000"/>
          <w:vertAlign w:val="superscript"/>
        </w:rPr>
        <w:t>1</w:t>
      </w:r>
      <w:r w:rsidR="0081254F" w:rsidRPr="0081254F">
        <w:rPr>
          <w:b/>
          <w:i/>
          <w:color w:val="000000"/>
        </w:rPr>
        <w:t>,</w:t>
      </w:r>
      <w:r w:rsidR="0081254F">
        <w:rPr>
          <w:b/>
          <w:i/>
          <w:color w:val="000000"/>
        </w:rPr>
        <w:t xml:space="preserve"> Кривицкая А.В.</w:t>
      </w:r>
      <w:r w:rsidR="0081254F" w:rsidRPr="0081254F">
        <w:rPr>
          <w:b/>
          <w:i/>
          <w:color w:val="000000"/>
          <w:vertAlign w:val="superscript"/>
        </w:rPr>
        <w:t>2</w:t>
      </w:r>
    </w:p>
    <w:p w14:paraId="00000003" w14:textId="51AB7709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специалитета </w:t>
      </w:r>
    </w:p>
    <w:p w14:paraId="00000004" w14:textId="70972EAB" w:rsidR="00130241" w:rsidRPr="00921D45" w:rsidRDefault="008125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1254F">
        <w:rPr>
          <w:i/>
          <w:color w:val="000000"/>
          <w:vertAlign w:val="superscript"/>
        </w:rPr>
        <w:t>1</w:t>
      </w:r>
      <w:r w:rsidR="00EB1F49"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 w:rsidR="00EB1F49">
        <w:rPr>
          <w:i/>
          <w:color w:val="000000"/>
        </w:rPr>
        <w:t>Ломоносова, </w:t>
      </w:r>
    </w:p>
    <w:p w14:paraId="00000005" w14:textId="432A8BCF" w:rsidR="00130241" w:rsidRPr="0081254F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81254F">
        <w:rPr>
          <w:i/>
          <w:color w:val="000000"/>
        </w:rPr>
        <w:t>химический</w:t>
      </w:r>
      <w:r w:rsidR="00EB1F49" w:rsidRPr="0081254F">
        <w:rPr>
          <w:i/>
          <w:color w:val="000000"/>
        </w:rPr>
        <w:t xml:space="preserve"> факультет, Москва, Россия</w:t>
      </w:r>
    </w:p>
    <w:p w14:paraId="6C2BD32F" w14:textId="7949F397" w:rsidR="00312212" w:rsidRPr="0081254F" w:rsidRDefault="0081254F" w:rsidP="00850BCA">
      <w:pPr>
        <w:jc w:val="center"/>
        <w:rPr>
          <w:i/>
        </w:rPr>
      </w:pPr>
      <w:r w:rsidRPr="00312212">
        <w:rPr>
          <w:i/>
          <w:vertAlign w:val="superscript"/>
        </w:rPr>
        <w:t>2</w:t>
      </w:r>
      <w:r w:rsidR="00312212" w:rsidRPr="00312212">
        <w:rPr>
          <w:i/>
        </w:rPr>
        <w:t xml:space="preserve">Федеральное государственное бюджетное учреждение науки Институт биохимической физики им. Н.М. Эмануэля РАН, Москва, </w:t>
      </w:r>
      <w:r w:rsidR="00312212">
        <w:rPr>
          <w:i/>
        </w:rPr>
        <w:t>Россия</w:t>
      </w:r>
    </w:p>
    <w:p w14:paraId="1ADA4293" w14:textId="2783994E" w:rsidR="00CD00B1" w:rsidRDefault="00EB1F49" w:rsidP="004039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4039BF" w:rsidRPr="00651216">
          <w:rPr>
            <w:rStyle w:val="a9"/>
            <w:i/>
            <w:lang w:val="en-US"/>
          </w:rPr>
          <w:t>mikaellaleonova@gmail.com</w:t>
        </w:r>
      </w:hyperlink>
      <w:r>
        <w:rPr>
          <w:i/>
          <w:color w:val="000000"/>
        </w:rPr>
        <w:t xml:space="preserve"> </w:t>
      </w:r>
    </w:p>
    <w:p w14:paraId="2704321A" w14:textId="5B66D9BE" w:rsidR="0081254F" w:rsidRDefault="0081254F" w:rsidP="008125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81254F">
        <w:t xml:space="preserve">Фосфорилирование белков является центральным процессом регуляции и передачи сигналов в клетках. </w:t>
      </w:r>
      <w:proofErr w:type="spellStart"/>
      <w:r w:rsidRPr="0081254F">
        <w:t>Протеинкиназы</w:t>
      </w:r>
      <w:proofErr w:type="spellEnd"/>
      <w:r w:rsidRPr="0081254F">
        <w:t xml:space="preserve"> — это ферменты, </w:t>
      </w:r>
      <w:r>
        <w:t xml:space="preserve">катализирующие реакцию фосфорилирования остатков </w:t>
      </w:r>
      <w:proofErr w:type="spellStart"/>
      <w:r>
        <w:t>серина</w:t>
      </w:r>
      <w:proofErr w:type="spellEnd"/>
      <w:r>
        <w:t xml:space="preserve">, треонина или </w:t>
      </w:r>
      <w:r w:rsidR="001A068A">
        <w:t>тирозина</w:t>
      </w:r>
      <w:r>
        <w:t xml:space="preserve">. </w:t>
      </w:r>
      <w:r w:rsidRPr="0081254F">
        <w:t xml:space="preserve">Среди человеческих </w:t>
      </w:r>
      <w:proofErr w:type="spellStart"/>
      <w:r w:rsidRPr="0081254F">
        <w:t>киназ</w:t>
      </w:r>
      <w:proofErr w:type="spellEnd"/>
      <w:r w:rsidRPr="0081254F">
        <w:t xml:space="preserve"> </w:t>
      </w:r>
      <w:proofErr w:type="spellStart"/>
      <w:r w:rsidRPr="0081254F">
        <w:t>цАМФ</w:t>
      </w:r>
      <w:proofErr w:type="spellEnd"/>
      <w:r w:rsidRPr="0081254F">
        <w:t xml:space="preserve">-зависимая </w:t>
      </w:r>
      <w:proofErr w:type="spellStart"/>
      <w:r w:rsidRPr="0081254F">
        <w:t>протеинкиназа</w:t>
      </w:r>
      <w:proofErr w:type="spellEnd"/>
      <w:r w:rsidRPr="0081254F">
        <w:t xml:space="preserve"> (PKA) была охарактеризована первой, и с тех пор она также подвергалась наиболее тщательному анализу, став основой для всего семейства </w:t>
      </w:r>
      <w:proofErr w:type="spellStart"/>
      <w:r w:rsidRPr="0081254F">
        <w:t>киназ</w:t>
      </w:r>
      <w:proofErr w:type="spellEnd"/>
      <w:r w:rsidRPr="0081254F">
        <w:t>.</w:t>
      </w:r>
      <w:r w:rsidR="00BF6EAC" w:rsidRPr="00BF6EAC">
        <w:rPr>
          <w:lang w:val="sv-SE"/>
        </w:rPr>
        <w:t xml:space="preserve"> </w:t>
      </w:r>
      <w:r w:rsidR="00BF6EAC">
        <w:t>З</w:t>
      </w:r>
      <w:proofErr w:type="spellStart"/>
      <w:r w:rsidR="00BF6EAC">
        <w:rPr>
          <w:lang w:val="sv-SE"/>
        </w:rPr>
        <w:t>ная</w:t>
      </w:r>
      <w:proofErr w:type="spellEnd"/>
      <w:r w:rsidR="00BF6EAC">
        <w:t xml:space="preserve"> </w:t>
      </w:r>
      <w:proofErr w:type="spellStart"/>
      <w:r w:rsidR="00BF6EAC">
        <w:rPr>
          <w:lang w:val="sv-SE"/>
        </w:rPr>
        <w:t>принцип</w:t>
      </w:r>
      <w:proofErr w:type="spellEnd"/>
      <w:r w:rsidR="00BF6EAC">
        <w:rPr>
          <w:lang w:val="sv-SE"/>
        </w:rPr>
        <w:t xml:space="preserve"> </w:t>
      </w:r>
      <w:proofErr w:type="spellStart"/>
      <w:r w:rsidR="00BF6EAC">
        <w:rPr>
          <w:lang w:val="sv-SE"/>
        </w:rPr>
        <w:t>действия</w:t>
      </w:r>
      <w:proofErr w:type="spellEnd"/>
      <w:r w:rsidR="00BF6EAC">
        <w:rPr>
          <w:lang w:val="sv-SE"/>
        </w:rPr>
        <w:t xml:space="preserve"> </w:t>
      </w:r>
      <w:proofErr w:type="spellStart"/>
      <w:r w:rsidR="00BF6EAC">
        <w:rPr>
          <w:lang w:val="sv-SE"/>
        </w:rPr>
        <w:t>пути</w:t>
      </w:r>
      <w:proofErr w:type="spellEnd"/>
      <w:r w:rsidR="00BF6EAC">
        <w:rPr>
          <w:lang w:val="sv-SE"/>
        </w:rPr>
        <w:t xml:space="preserve"> </w:t>
      </w:r>
      <w:proofErr w:type="spellStart"/>
      <w:r w:rsidR="00BF6EAC">
        <w:rPr>
          <w:lang w:val="sv-SE"/>
        </w:rPr>
        <w:t>передачи</w:t>
      </w:r>
      <w:proofErr w:type="spellEnd"/>
      <w:r w:rsidR="00BF6EAC">
        <w:rPr>
          <w:lang w:val="sv-SE"/>
        </w:rPr>
        <w:t xml:space="preserve"> </w:t>
      </w:r>
      <w:proofErr w:type="spellStart"/>
      <w:r w:rsidR="00BF6EAC">
        <w:rPr>
          <w:lang w:val="sv-SE"/>
        </w:rPr>
        <w:t>сигнала</w:t>
      </w:r>
      <w:proofErr w:type="spellEnd"/>
      <w:r w:rsidR="00BF6EAC">
        <w:rPr>
          <w:lang w:val="sv-SE"/>
        </w:rPr>
        <w:t xml:space="preserve"> </w:t>
      </w:r>
      <w:proofErr w:type="spellStart"/>
      <w:r w:rsidR="00BF6EAC">
        <w:rPr>
          <w:lang w:val="sv-SE"/>
        </w:rPr>
        <w:t>цАМФ</w:t>
      </w:r>
      <w:proofErr w:type="spellEnd"/>
      <w:r w:rsidR="00BF6EAC">
        <w:rPr>
          <w:lang w:val="sv-SE"/>
        </w:rPr>
        <w:t>-РКА-К</w:t>
      </w:r>
      <w:r w:rsidR="00BF6EAC" w:rsidRPr="006410BB">
        <w:rPr>
          <w:vertAlign w:val="superscript"/>
          <w:lang w:val="sv-SE"/>
        </w:rPr>
        <w:t>+</w:t>
      </w:r>
      <w:r w:rsidR="00BF6EAC">
        <w:rPr>
          <w:lang w:val="sv-SE"/>
        </w:rPr>
        <w:t xml:space="preserve">, </w:t>
      </w:r>
      <w:proofErr w:type="spellStart"/>
      <w:r w:rsidR="00BF6EAC">
        <w:rPr>
          <w:lang w:val="sv-SE"/>
        </w:rPr>
        <w:t>можно</w:t>
      </w:r>
      <w:proofErr w:type="spellEnd"/>
      <w:r w:rsidR="00BF6EAC">
        <w:rPr>
          <w:lang w:val="sv-SE"/>
        </w:rPr>
        <w:t xml:space="preserve"> </w:t>
      </w:r>
      <w:proofErr w:type="spellStart"/>
      <w:r w:rsidR="00BF6EAC">
        <w:rPr>
          <w:lang w:val="sv-SE"/>
        </w:rPr>
        <w:t>выявить</w:t>
      </w:r>
      <w:proofErr w:type="spellEnd"/>
      <w:r w:rsidR="00BF6EAC">
        <w:rPr>
          <w:lang w:val="sv-SE"/>
        </w:rPr>
        <w:t xml:space="preserve"> </w:t>
      </w:r>
      <w:proofErr w:type="spellStart"/>
      <w:r w:rsidR="00BF6EAC">
        <w:rPr>
          <w:lang w:val="sv-SE"/>
        </w:rPr>
        <w:t>причины</w:t>
      </w:r>
      <w:proofErr w:type="spellEnd"/>
      <w:r w:rsidR="00BF6EAC">
        <w:rPr>
          <w:lang w:val="sv-SE"/>
        </w:rPr>
        <w:t xml:space="preserve"> </w:t>
      </w:r>
      <w:proofErr w:type="spellStart"/>
      <w:r w:rsidR="00BF6EAC">
        <w:rPr>
          <w:lang w:val="sv-SE"/>
        </w:rPr>
        <w:t>когнитивных</w:t>
      </w:r>
      <w:proofErr w:type="spellEnd"/>
      <w:r w:rsidR="00BF6EAC">
        <w:rPr>
          <w:lang w:val="sv-SE"/>
        </w:rPr>
        <w:t xml:space="preserve"> </w:t>
      </w:r>
      <w:proofErr w:type="spellStart"/>
      <w:r w:rsidR="00BF6EAC">
        <w:rPr>
          <w:lang w:val="sv-SE"/>
        </w:rPr>
        <w:t>отклонений</w:t>
      </w:r>
      <w:proofErr w:type="spellEnd"/>
      <w:r w:rsidR="00BF6EAC">
        <w:rPr>
          <w:lang w:val="sv-SE"/>
        </w:rPr>
        <w:t xml:space="preserve"> и </w:t>
      </w:r>
      <w:r w:rsidR="00BF6EAC" w:rsidRPr="00D0235A">
        <w:t>нейродегенеративных</w:t>
      </w:r>
      <w:r w:rsidR="00BF6EAC">
        <w:rPr>
          <w:lang w:val="sv-SE"/>
        </w:rPr>
        <w:t xml:space="preserve"> </w:t>
      </w:r>
      <w:proofErr w:type="spellStart"/>
      <w:r w:rsidR="00BF6EAC">
        <w:rPr>
          <w:lang w:val="sv-SE"/>
        </w:rPr>
        <w:t>заболеваний</w:t>
      </w:r>
      <w:proofErr w:type="spellEnd"/>
      <w:r w:rsidR="00BF6EAC">
        <w:rPr>
          <w:lang w:val="sv-SE"/>
        </w:rPr>
        <w:t xml:space="preserve"> </w:t>
      </w:r>
      <w:r w:rsidR="00BF6EAC">
        <w:t>для обнаружения потенциальных терапевтических мишеней.</w:t>
      </w:r>
    </w:p>
    <w:p w14:paraId="56863EC5" w14:textId="3B8BD823" w:rsidR="00BF6EAC" w:rsidRPr="00BF6EAC" w:rsidRDefault="00BF6EAC" w:rsidP="008125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lang w:val="en-US"/>
        </w:rPr>
      </w:pPr>
      <w:r>
        <w:t>Реакции фосфорилирования, сопровождающиеся разрывом Р-О связи, могут протекать по двум типам механизма: диссоциативному и ассоциативному.</w:t>
      </w:r>
      <w:r w:rsidRPr="00BF6EAC">
        <w:t xml:space="preserve"> При диссоциативном механизме разрыв P-O связи предшествует образованию связи</w:t>
      </w:r>
      <w:r>
        <w:t xml:space="preserve"> между фосфором и нуклеофилом</w:t>
      </w:r>
      <w:r w:rsidRPr="00BF6EAC">
        <w:t>, а при ассоциативном механизме нуклеофильная атака предшествует разрыву P-O</w:t>
      </w:r>
      <w:r>
        <w:t xml:space="preserve"> связи</w:t>
      </w:r>
      <w:r w:rsidRPr="00BF6EAC">
        <w:t>.</w:t>
      </w:r>
    </w:p>
    <w:p w14:paraId="4F714E66" w14:textId="2D8DEB33" w:rsidR="003343D3" w:rsidRDefault="00BF6EAC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В связи с этим целью данной работы являлось определение типа механизма фосфорилирования </w:t>
      </w:r>
      <w:proofErr w:type="spellStart"/>
      <w:r>
        <w:t>серина</w:t>
      </w:r>
      <w:proofErr w:type="spellEnd"/>
      <w:r w:rsidR="0082275F">
        <w:t xml:space="preserve"> субстрата </w:t>
      </w:r>
      <w:r w:rsidR="0082275F">
        <w:rPr>
          <w:lang w:val="en-US"/>
        </w:rPr>
        <w:t>SP20</w:t>
      </w:r>
      <w:r>
        <w:t xml:space="preserve"> в активном центре РКА. Для этого был проведен анализ геометрических и</w:t>
      </w:r>
      <w:r w:rsidR="0081254F">
        <w:t xml:space="preserve"> </w:t>
      </w:r>
      <w:r w:rsidR="00DB5260">
        <w:t>электронно-плотностн</w:t>
      </w:r>
      <w:r w:rsidR="00E87800">
        <w:t>ых</w:t>
      </w:r>
      <w:r w:rsidR="00DB5260">
        <w:t xml:space="preserve"> </w:t>
      </w:r>
      <w:r w:rsidR="00E87800">
        <w:t>критериев</w:t>
      </w:r>
      <w:r w:rsidR="0081254F">
        <w:t xml:space="preserve"> геометрии, отвечающей состоянию фермент-субстратного комплекса</w:t>
      </w:r>
      <w:r w:rsidR="00E87800">
        <w:t>.</w:t>
      </w:r>
      <w:r>
        <w:t xml:space="preserve"> </w:t>
      </w:r>
      <w:r w:rsidR="001A068A">
        <w:t>Кроме того</w:t>
      </w:r>
      <w:r>
        <w:t>, с помощью методов молекулярного моделирования был рассчитан профиль энергии Гиббса.</w:t>
      </w:r>
    </w:p>
    <w:p w14:paraId="41F913C7" w14:textId="5B055C7D" w:rsidR="00BF6EAC" w:rsidRPr="00312212" w:rsidRDefault="000E1DBE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0E1DBE">
        <w:rPr>
          <w:color w:val="000000"/>
        </w:rPr>
        <w:t xml:space="preserve">В данной работе были проведены расчеты молекулярной динамики с потенциалами комбинированного метода квантовой механики / молекулярной механики (КМ/ММ): для </w:t>
      </w:r>
      <w:r>
        <w:rPr>
          <w:color w:val="000000"/>
        </w:rPr>
        <w:t>анализа состояния фермент-субстратного комплекса</w:t>
      </w:r>
      <w:r w:rsidRPr="000E1DBE">
        <w:rPr>
          <w:color w:val="000000"/>
        </w:rPr>
        <w:t xml:space="preserve"> – без добавления смещающего потенциала, для построения профиля </w:t>
      </w:r>
      <w:r>
        <w:rPr>
          <w:color w:val="000000"/>
        </w:rPr>
        <w:t xml:space="preserve">энергии Гиббса </w:t>
      </w:r>
      <w:r w:rsidRPr="000E1DBE">
        <w:rPr>
          <w:color w:val="000000"/>
        </w:rPr>
        <w:t>– с добавлением смещающего потенциала методом зонтичной выборки</w:t>
      </w:r>
      <w:r>
        <w:rPr>
          <w:color w:val="000000"/>
        </w:rPr>
        <w:t xml:space="preserve">. Квантовая подсистема включала в себя боковые цепи остатков </w:t>
      </w:r>
      <w:r>
        <w:rPr>
          <w:rFonts w:eastAsia="Cambria"/>
          <w:lang w:val="en-US"/>
        </w:rPr>
        <w:t>Lys72, Asp166, Lys168</w:t>
      </w:r>
      <w:r>
        <w:rPr>
          <w:rFonts w:eastAsia="Cambria"/>
        </w:rPr>
        <w:t xml:space="preserve">, </w:t>
      </w:r>
      <w:proofErr w:type="spellStart"/>
      <w:r>
        <w:rPr>
          <w:rFonts w:eastAsia="Cambria"/>
        </w:rPr>
        <w:t>серина</w:t>
      </w:r>
      <w:proofErr w:type="spellEnd"/>
      <w:r>
        <w:rPr>
          <w:rFonts w:eastAsia="Cambria"/>
        </w:rPr>
        <w:t xml:space="preserve"> субстрата </w:t>
      </w:r>
      <w:r>
        <w:rPr>
          <w:rFonts w:eastAsia="Cambria"/>
          <w:lang w:val="en-US"/>
        </w:rPr>
        <w:t xml:space="preserve">SP20 </w:t>
      </w:r>
      <w:r>
        <w:rPr>
          <w:rFonts w:eastAsia="Cambria"/>
        </w:rPr>
        <w:t>и 7 молекул воды, а также</w:t>
      </w:r>
      <w:r>
        <w:rPr>
          <w:color w:val="000000"/>
        </w:rPr>
        <w:t xml:space="preserve"> два катиона магния и их координационные сферы, представленные боковыми цепями остатков </w:t>
      </w:r>
      <w:r>
        <w:rPr>
          <w:color w:val="000000"/>
          <w:lang w:val="en-US"/>
        </w:rPr>
        <w:t>Asn171</w:t>
      </w:r>
      <w:r>
        <w:rPr>
          <w:color w:val="000000"/>
        </w:rPr>
        <w:t xml:space="preserve"> и </w:t>
      </w:r>
      <w:r w:rsidRPr="008C2A1A">
        <w:rPr>
          <w:rFonts w:eastAsia="Cambria"/>
          <w:lang w:val="en-US"/>
        </w:rPr>
        <w:t>Asp</w:t>
      </w:r>
      <w:r w:rsidRPr="008C2A1A">
        <w:rPr>
          <w:rFonts w:eastAsia="Cambria"/>
        </w:rPr>
        <w:t>184, фосфатными группами АТФ и 3 молекулами воды</w:t>
      </w:r>
      <w:r>
        <w:rPr>
          <w:rFonts w:eastAsia="Cambria"/>
        </w:rPr>
        <w:t>.</w:t>
      </w:r>
      <w:r w:rsidR="006F2F13">
        <w:rPr>
          <w:rFonts w:eastAsia="Cambria"/>
        </w:rPr>
        <w:t xml:space="preserve"> </w:t>
      </w:r>
      <w:r w:rsidR="001A068A">
        <w:rPr>
          <w:color w:val="000000"/>
        </w:rPr>
        <w:t>Данная</w:t>
      </w:r>
      <w:r w:rsidR="006F2F13">
        <w:rPr>
          <w:color w:val="000000"/>
        </w:rPr>
        <w:t xml:space="preserve"> подсистема описывалась </w:t>
      </w:r>
      <w:r w:rsidR="00B02EAA">
        <w:rPr>
          <w:color w:val="000000"/>
        </w:rPr>
        <w:t xml:space="preserve">методом теории функционала плотности: функционал </w:t>
      </w:r>
      <w:r w:rsidR="00B02EAA">
        <w:rPr>
          <w:color w:val="000000"/>
          <w:lang w:val="en-US"/>
        </w:rPr>
        <w:t xml:space="preserve">PBE0 </w:t>
      </w:r>
      <w:r w:rsidR="00B02EAA">
        <w:rPr>
          <w:color w:val="000000"/>
        </w:rPr>
        <w:t xml:space="preserve">с дисперсионной поправкой </w:t>
      </w:r>
      <w:r w:rsidR="00B02EAA">
        <w:rPr>
          <w:color w:val="000000"/>
          <w:lang w:val="en-US"/>
        </w:rPr>
        <w:t>D3</w:t>
      </w:r>
      <w:r w:rsidR="00B02EAA">
        <w:rPr>
          <w:color w:val="000000"/>
        </w:rPr>
        <w:t xml:space="preserve"> и базис 6-31</w:t>
      </w:r>
      <w:r w:rsidR="00B02EAA">
        <w:rPr>
          <w:color w:val="000000"/>
          <w:lang w:val="en-US"/>
        </w:rPr>
        <w:t>G**</w:t>
      </w:r>
      <w:r w:rsidR="00B02EAA">
        <w:rPr>
          <w:color w:val="000000"/>
          <w:lang w:val="sv-SE"/>
        </w:rPr>
        <w:t xml:space="preserve">, для описания катионов магния </w:t>
      </w:r>
      <w:r w:rsidR="00543494">
        <w:rPr>
          <w:color w:val="000000"/>
        </w:rPr>
        <w:t xml:space="preserve">использовался </w:t>
      </w:r>
      <w:proofErr w:type="spellStart"/>
      <w:r w:rsidR="00543494">
        <w:rPr>
          <w:color w:val="000000"/>
        </w:rPr>
        <w:t>псевдопотенциал</w:t>
      </w:r>
      <w:proofErr w:type="spellEnd"/>
      <w:r w:rsidR="00543494">
        <w:rPr>
          <w:color w:val="000000"/>
        </w:rPr>
        <w:t xml:space="preserve"> </w:t>
      </w:r>
      <w:r w:rsidR="00543494">
        <w:rPr>
          <w:color w:val="000000"/>
          <w:lang w:val="en-US"/>
        </w:rPr>
        <w:t xml:space="preserve">LANL2DZ. </w:t>
      </w:r>
      <w:r w:rsidR="00543494">
        <w:rPr>
          <w:color w:val="000000"/>
        </w:rPr>
        <w:t xml:space="preserve">Для описания ММ-подсистемы использовали силовое поле </w:t>
      </w:r>
      <w:r w:rsidR="00543494">
        <w:rPr>
          <w:color w:val="000000"/>
          <w:lang w:val="en-US"/>
        </w:rPr>
        <w:t xml:space="preserve">CHARMM. </w:t>
      </w:r>
      <w:r w:rsidR="00543494">
        <w:rPr>
          <w:color w:val="000000"/>
          <w:lang w:val="sv-SE"/>
        </w:rPr>
        <w:t xml:space="preserve">В </w:t>
      </w:r>
      <w:proofErr w:type="spellStart"/>
      <w:r w:rsidR="00543494">
        <w:rPr>
          <w:color w:val="000000"/>
          <w:lang w:val="sv-SE"/>
        </w:rPr>
        <w:t>качестве</w:t>
      </w:r>
      <w:proofErr w:type="spellEnd"/>
      <w:r w:rsidR="00543494">
        <w:rPr>
          <w:color w:val="000000"/>
          <w:lang w:val="sv-SE"/>
        </w:rPr>
        <w:t xml:space="preserve"> </w:t>
      </w:r>
      <w:r w:rsidR="006F2F13">
        <w:rPr>
          <w:color w:val="000000"/>
        </w:rPr>
        <w:t>координаты реакции</w:t>
      </w:r>
      <w:r w:rsidR="00543494">
        <w:rPr>
          <w:color w:val="000000"/>
          <w:lang w:val="sv-SE"/>
        </w:rPr>
        <w:t xml:space="preserve"> </w:t>
      </w:r>
      <w:proofErr w:type="spellStart"/>
      <w:r w:rsidR="00543494">
        <w:rPr>
          <w:color w:val="000000"/>
          <w:lang w:val="sv-SE"/>
        </w:rPr>
        <w:t>была</w:t>
      </w:r>
      <w:proofErr w:type="spellEnd"/>
      <w:r w:rsidR="00543494">
        <w:rPr>
          <w:color w:val="000000"/>
          <w:lang w:val="sv-SE"/>
        </w:rPr>
        <w:t xml:space="preserve"> </w:t>
      </w:r>
      <w:proofErr w:type="spellStart"/>
      <w:r w:rsidR="00543494">
        <w:rPr>
          <w:color w:val="000000"/>
          <w:lang w:val="sv-SE"/>
        </w:rPr>
        <w:t>выбрана</w:t>
      </w:r>
      <w:proofErr w:type="spellEnd"/>
      <w:r w:rsidR="00543494">
        <w:rPr>
          <w:color w:val="000000"/>
          <w:lang w:val="sv-SE"/>
        </w:rPr>
        <w:t xml:space="preserve"> </w:t>
      </w:r>
      <w:r w:rsidR="00543494">
        <w:rPr>
          <w:color w:val="000000"/>
        </w:rPr>
        <w:t>разность между расстояниями разрывающейся связи (</w:t>
      </w:r>
      <w:r w:rsidR="00543494">
        <w:rPr>
          <w:color w:val="000000"/>
          <w:lang w:val="en-US"/>
        </w:rPr>
        <w:t>P-O</w:t>
      </w:r>
      <w:r w:rsidR="00543494" w:rsidRPr="00543494">
        <w:rPr>
          <w:color w:val="000000"/>
          <w:vertAlign w:val="subscript"/>
          <w:lang w:val="en-US"/>
        </w:rPr>
        <w:t>ATP</w:t>
      </w:r>
      <w:r w:rsidR="00543494">
        <w:rPr>
          <w:color w:val="000000"/>
          <w:lang w:val="en-US"/>
        </w:rPr>
        <w:t>)</w:t>
      </w:r>
      <w:r w:rsidR="00543494">
        <w:rPr>
          <w:color w:val="000000"/>
        </w:rPr>
        <w:t xml:space="preserve"> и нуклеофильной атаки</w:t>
      </w:r>
      <w:r w:rsidR="00543494">
        <w:rPr>
          <w:color w:val="000000"/>
          <w:lang w:val="en-US"/>
        </w:rPr>
        <w:t xml:space="preserve"> (P-O</w:t>
      </w:r>
      <w:r w:rsidR="00543494" w:rsidRPr="00543494">
        <w:rPr>
          <w:color w:val="000000"/>
          <w:vertAlign w:val="subscript"/>
          <w:lang w:val="en-US"/>
        </w:rPr>
        <w:t>Ser</w:t>
      </w:r>
      <w:r w:rsidR="00312212">
        <w:rPr>
          <w:color w:val="000000"/>
        </w:rPr>
        <w:t>).</w:t>
      </w:r>
    </w:p>
    <w:p w14:paraId="7A8EFEAA" w14:textId="42BD2E7A" w:rsidR="00137015" w:rsidRDefault="00137015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Таким образом,</w:t>
      </w:r>
      <w:r w:rsidR="006F2F13">
        <w:rPr>
          <w:color w:val="000000"/>
        </w:rPr>
        <w:t xml:space="preserve"> для определения типа механизма были использован</w:t>
      </w:r>
      <w:r w:rsidR="00487AFB">
        <w:rPr>
          <w:color w:val="000000"/>
        </w:rPr>
        <w:t>ы</w:t>
      </w:r>
      <w:r w:rsidR="006F2F13">
        <w:rPr>
          <w:color w:val="000000"/>
        </w:rPr>
        <w:t xml:space="preserve"> геометрический критерий (среднее значение длины, разрываемой </w:t>
      </w:r>
      <w:r w:rsidR="006F2F13" w:rsidRPr="0072554A">
        <w:t>P-O</w:t>
      </w:r>
      <w:r w:rsidR="006F2F13">
        <w:rPr>
          <w:vertAlign w:val="subscript"/>
          <w:lang w:val="en-US"/>
        </w:rPr>
        <w:t>ATP</w:t>
      </w:r>
      <w:r w:rsidR="006F2F13">
        <w:rPr>
          <w:color w:val="000000"/>
        </w:rPr>
        <w:t xml:space="preserve"> связи) и лапласиан электронной плотности вдоль линии разрываемой связи. Данный анализ показал, что реакция фосфорилирования в активном центре РКА происходит по диссоциативному механизму. Кроме того, были обнаружены несколько различных состояний активного центра</w:t>
      </w:r>
      <w:r w:rsidR="00487AFB">
        <w:rPr>
          <w:color w:val="000000"/>
        </w:rPr>
        <w:t xml:space="preserve"> для фермент-субстратного комплекса</w:t>
      </w:r>
      <w:r w:rsidR="006F2F13">
        <w:rPr>
          <w:color w:val="000000"/>
        </w:rPr>
        <w:t xml:space="preserve">, для всех состояний </w:t>
      </w:r>
      <w:r w:rsidR="00487AFB">
        <w:rPr>
          <w:color w:val="000000"/>
        </w:rPr>
        <w:t>рассчитаны</w:t>
      </w:r>
      <w:r w:rsidR="006F2F13">
        <w:rPr>
          <w:color w:val="000000"/>
        </w:rPr>
        <w:t xml:space="preserve"> профил</w:t>
      </w:r>
      <w:r w:rsidR="00487AFB">
        <w:rPr>
          <w:color w:val="000000"/>
        </w:rPr>
        <w:t>и</w:t>
      </w:r>
      <w:r w:rsidR="006F2F13">
        <w:rPr>
          <w:color w:val="000000"/>
        </w:rPr>
        <w:t xml:space="preserve"> энергии Гиббса и показано, какое состояние фермент-субстратного комплекса является реакционноспособны</w:t>
      </w:r>
      <w:r w:rsidR="00487AFB">
        <w:rPr>
          <w:color w:val="000000"/>
        </w:rPr>
        <w:t>м</w:t>
      </w:r>
      <w:r w:rsidR="006F2F13">
        <w:rPr>
          <w:color w:val="000000"/>
        </w:rPr>
        <w:t xml:space="preserve">. </w:t>
      </w:r>
    </w:p>
    <w:p w14:paraId="3486C755" w14:textId="7564B295" w:rsidR="00116478" w:rsidRPr="001D03AC" w:rsidRDefault="0081254F" w:rsidP="006F2F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1D03AC">
        <w:rPr>
          <w:i/>
          <w:color w:val="000000"/>
        </w:rPr>
        <w:t>Работа выполнена с использованием оборудования Центра коллективного пользования сверхвысокопроизводительными вычислительными ресурсами МГУ имени М.В. Ломоносова при финансовой поддержке РНФ (проект № 23-13-00011).</w:t>
      </w:r>
    </w:p>
    <w:sectPr w:rsidR="00116478" w:rsidRPr="001D03A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507744">
    <w:abstractNumId w:val="0"/>
  </w:num>
  <w:num w:numId="2" w16cid:durableId="1694071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37E5E"/>
    <w:rsid w:val="00063966"/>
    <w:rsid w:val="000778E6"/>
    <w:rsid w:val="00086081"/>
    <w:rsid w:val="0009315E"/>
    <w:rsid w:val="000D0C0C"/>
    <w:rsid w:val="000E1DBE"/>
    <w:rsid w:val="00101A1C"/>
    <w:rsid w:val="00103657"/>
    <w:rsid w:val="00106375"/>
    <w:rsid w:val="00116478"/>
    <w:rsid w:val="00130241"/>
    <w:rsid w:val="00137015"/>
    <w:rsid w:val="00194444"/>
    <w:rsid w:val="001A068A"/>
    <w:rsid w:val="001C7BAF"/>
    <w:rsid w:val="001D03AC"/>
    <w:rsid w:val="001E61C2"/>
    <w:rsid w:val="001F0493"/>
    <w:rsid w:val="002264EE"/>
    <w:rsid w:val="0023307C"/>
    <w:rsid w:val="00282DC2"/>
    <w:rsid w:val="002C2370"/>
    <w:rsid w:val="002F183F"/>
    <w:rsid w:val="00312212"/>
    <w:rsid w:val="0031361E"/>
    <w:rsid w:val="00325355"/>
    <w:rsid w:val="0033259D"/>
    <w:rsid w:val="003343D3"/>
    <w:rsid w:val="0034797C"/>
    <w:rsid w:val="00383A29"/>
    <w:rsid w:val="00391C38"/>
    <w:rsid w:val="003B6C23"/>
    <w:rsid w:val="003B76D6"/>
    <w:rsid w:val="004039BF"/>
    <w:rsid w:val="0047339B"/>
    <w:rsid w:val="00487AFB"/>
    <w:rsid w:val="004A26A3"/>
    <w:rsid w:val="004C51FB"/>
    <w:rsid w:val="004F0EDF"/>
    <w:rsid w:val="00522BF1"/>
    <w:rsid w:val="00543494"/>
    <w:rsid w:val="00590166"/>
    <w:rsid w:val="005C7242"/>
    <w:rsid w:val="005D022B"/>
    <w:rsid w:val="005E1236"/>
    <w:rsid w:val="005E5BE9"/>
    <w:rsid w:val="00617B34"/>
    <w:rsid w:val="006410BB"/>
    <w:rsid w:val="00656061"/>
    <w:rsid w:val="0069427D"/>
    <w:rsid w:val="00696760"/>
    <w:rsid w:val="006F2F13"/>
    <w:rsid w:val="006F7A19"/>
    <w:rsid w:val="007173BE"/>
    <w:rsid w:val="007213E1"/>
    <w:rsid w:val="00775389"/>
    <w:rsid w:val="00797838"/>
    <w:rsid w:val="007A26F8"/>
    <w:rsid w:val="007C36D8"/>
    <w:rsid w:val="007E336C"/>
    <w:rsid w:val="007F2744"/>
    <w:rsid w:val="0081254F"/>
    <w:rsid w:val="0082275F"/>
    <w:rsid w:val="00826546"/>
    <w:rsid w:val="00850BCA"/>
    <w:rsid w:val="00870852"/>
    <w:rsid w:val="008931BE"/>
    <w:rsid w:val="008C2A1A"/>
    <w:rsid w:val="008C67E3"/>
    <w:rsid w:val="00921D45"/>
    <w:rsid w:val="0092542E"/>
    <w:rsid w:val="00944EF4"/>
    <w:rsid w:val="00993851"/>
    <w:rsid w:val="009A66DB"/>
    <w:rsid w:val="009B2F80"/>
    <w:rsid w:val="009B3300"/>
    <w:rsid w:val="009F3380"/>
    <w:rsid w:val="00A02163"/>
    <w:rsid w:val="00A203BD"/>
    <w:rsid w:val="00A24067"/>
    <w:rsid w:val="00A314FE"/>
    <w:rsid w:val="00A32950"/>
    <w:rsid w:val="00AB6D18"/>
    <w:rsid w:val="00B02EAA"/>
    <w:rsid w:val="00B05F59"/>
    <w:rsid w:val="00B770F4"/>
    <w:rsid w:val="00BB5646"/>
    <w:rsid w:val="00BB7CF5"/>
    <w:rsid w:val="00BE4954"/>
    <w:rsid w:val="00BF36F8"/>
    <w:rsid w:val="00BF4622"/>
    <w:rsid w:val="00BF6EAC"/>
    <w:rsid w:val="00CD00B1"/>
    <w:rsid w:val="00CE2DDD"/>
    <w:rsid w:val="00CF0D04"/>
    <w:rsid w:val="00D0235A"/>
    <w:rsid w:val="00D22306"/>
    <w:rsid w:val="00D42542"/>
    <w:rsid w:val="00D53135"/>
    <w:rsid w:val="00D54CD7"/>
    <w:rsid w:val="00D8121C"/>
    <w:rsid w:val="00DB5260"/>
    <w:rsid w:val="00DF4613"/>
    <w:rsid w:val="00E22189"/>
    <w:rsid w:val="00E74069"/>
    <w:rsid w:val="00E76985"/>
    <w:rsid w:val="00E87800"/>
    <w:rsid w:val="00EA0C8A"/>
    <w:rsid w:val="00EB1F49"/>
    <w:rsid w:val="00EB6890"/>
    <w:rsid w:val="00EE0A64"/>
    <w:rsid w:val="00EE3F79"/>
    <w:rsid w:val="00F06B7B"/>
    <w:rsid w:val="00F263F6"/>
    <w:rsid w:val="00F47164"/>
    <w:rsid w:val="00F865B3"/>
    <w:rsid w:val="00F915AE"/>
    <w:rsid w:val="00FA4F44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kaellaleono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6EE66F-2D81-4C1D-8A1F-352CC3DE6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Mikaella Leonova</dc:creator>
  <cp:lastModifiedBy>Mikaella Leonova</cp:lastModifiedBy>
  <cp:revision>3</cp:revision>
  <dcterms:created xsi:type="dcterms:W3CDTF">2024-02-27T15:24:00Z</dcterms:created>
  <dcterms:modified xsi:type="dcterms:W3CDTF">2024-02-27T15:25:00Z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