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635" w14:textId="77777777" w:rsidR="0008788F" w:rsidRPr="000F4347" w:rsidRDefault="0008788F" w:rsidP="0008788F">
      <w:pPr>
        <w:ind w:left="136" w:right="136"/>
        <w:jc w:val="center"/>
        <w:rPr>
          <w:b/>
          <w:bCs/>
        </w:rPr>
      </w:pPr>
      <w:r w:rsidRPr="000F4347">
        <w:rPr>
          <w:b/>
          <w:bCs/>
        </w:rPr>
        <w:t>Исследование влияния состава обогащенных литием оксидов на эле</w:t>
      </w:r>
      <w:r>
        <w:rPr>
          <w:b/>
          <w:bCs/>
        </w:rPr>
        <w:t>ктрохимические свойства катодных материалов</w:t>
      </w:r>
    </w:p>
    <w:p w14:paraId="4DB43E65" w14:textId="2B0E931D" w:rsidR="0008788F" w:rsidRDefault="0008788F" w:rsidP="0008788F">
      <w:pPr>
        <w:ind w:left="136" w:right="136" w:firstLine="39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Курл</w:t>
      </w:r>
      <w:r w:rsidR="00D82F33">
        <w:rPr>
          <w:b/>
          <w:i/>
          <w:color w:val="000000"/>
        </w:rPr>
        <w:t>ы</w:t>
      </w:r>
      <w:r>
        <w:rPr>
          <w:b/>
          <w:i/>
          <w:color w:val="000000"/>
        </w:rPr>
        <w:t>кин А.А.,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</w:t>
      </w:r>
      <w:r w:rsidRPr="009D5B02">
        <w:rPr>
          <w:b/>
          <w:i/>
          <w:color w:val="000000"/>
        </w:rPr>
        <w:t>Медведева А.Е.</w:t>
      </w:r>
      <w:r w:rsidRPr="009D5B02">
        <w:rPr>
          <w:b/>
          <w:i/>
          <w:color w:val="000000"/>
          <w:vertAlign w:val="superscript"/>
        </w:rPr>
        <w:t>1</w:t>
      </w:r>
    </w:p>
    <w:p w14:paraId="00000003" w14:textId="38E886C1" w:rsidR="00130241" w:rsidRDefault="0008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специалитета </w:t>
      </w:r>
    </w:p>
    <w:p w14:paraId="088D542E" w14:textId="3A93D6FF" w:rsidR="0008788F" w:rsidRDefault="0008788F" w:rsidP="0008788F">
      <w:pPr>
        <w:ind w:left="136" w:right="136" w:firstLine="39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общей и неорганической химии им. Н.С. Кур</w:t>
      </w:r>
      <w:r w:rsidR="00122D43">
        <w:rPr>
          <w:i/>
          <w:color w:val="000000"/>
        </w:rPr>
        <w:t>н</w:t>
      </w:r>
      <w:r>
        <w:rPr>
          <w:i/>
          <w:color w:val="000000"/>
        </w:rPr>
        <w:t>а</w:t>
      </w:r>
      <w:r w:rsidR="00122D43">
        <w:rPr>
          <w:i/>
          <w:color w:val="000000"/>
        </w:rPr>
        <w:t>к</w:t>
      </w:r>
      <w:r>
        <w:rPr>
          <w:i/>
          <w:color w:val="000000"/>
        </w:rPr>
        <w:t>ова РАН, Москва, Россия</w:t>
      </w:r>
    </w:p>
    <w:p w14:paraId="00000004" w14:textId="42C1314E" w:rsidR="00130241" w:rsidRPr="0008788F" w:rsidRDefault="0008788F" w:rsidP="0008788F">
      <w:pPr>
        <w:ind w:left="136" w:right="136" w:firstLine="397"/>
        <w:jc w:val="center"/>
        <w:rPr>
          <w:i/>
          <w:color w:val="000000"/>
        </w:rPr>
      </w:pPr>
      <w:r>
        <w:rPr>
          <w:i/>
          <w:color w:val="000000"/>
        </w:rPr>
        <w:t xml:space="preserve"> </w:t>
      </w: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71D64168" w:rsidR="00CD00B1" w:rsidRDefault="00EB1F49" w:rsidP="0008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08788F" w:rsidRPr="003F58B5">
        <w:rPr>
          <w:i/>
          <w:color w:val="000000"/>
          <w:u w:val="single"/>
        </w:rPr>
        <w:t>kurlikin2001@yandex.ru</w:t>
      </w:r>
      <w:r>
        <w:rPr>
          <w:i/>
          <w:color w:val="000000"/>
        </w:rPr>
        <w:t xml:space="preserve"> </w:t>
      </w:r>
    </w:p>
    <w:p w14:paraId="7165A57C" w14:textId="006A00B0" w:rsidR="00D82F33" w:rsidRDefault="0008788F" w:rsidP="00917186">
      <w:pPr>
        <w:ind w:right="136" w:firstLine="397"/>
        <w:jc w:val="both"/>
        <w:rPr>
          <w:bCs/>
        </w:rPr>
      </w:pPr>
      <w:r>
        <w:rPr>
          <w:bCs/>
        </w:rPr>
        <w:t>Материалы на основе обогащенных литием оксидов (</w:t>
      </w:r>
      <w:r>
        <w:rPr>
          <w:bCs/>
          <w:lang w:val="en-US"/>
        </w:rPr>
        <w:t>LR</w:t>
      </w:r>
      <w:r w:rsidRPr="000F4347">
        <w:rPr>
          <w:bCs/>
        </w:rPr>
        <w:t>-</w:t>
      </w:r>
      <w:r>
        <w:rPr>
          <w:bCs/>
        </w:rPr>
        <w:t xml:space="preserve">оксидов) с общей формулой </w:t>
      </w:r>
      <w:r w:rsidRPr="000F4347">
        <w:rPr>
          <w:bCs/>
          <w:lang w:val="en-US"/>
        </w:rPr>
        <w:t>Li</w:t>
      </w:r>
      <w:r w:rsidRPr="000F4347">
        <w:rPr>
          <w:bCs/>
          <w:vertAlign w:val="subscript"/>
        </w:rPr>
        <w:t>(1+</w:t>
      </w:r>
      <w:proofErr w:type="gramStart"/>
      <w:r w:rsidRPr="000F4347">
        <w:rPr>
          <w:bCs/>
          <w:vertAlign w:val="subscript"/>
          <w:lang w:val="en-US"/>
        </w:rPr>
        <w:t>y</w:t>
      </w:r>
      <w:r w:rsidRPr="000F4347">
        <w:rPr>
          <w:bCs/>
          <w:vertAlign w:val="subscript"/>
        </w:rPr>
        <w:t>)</w:t>
      </w:r>
      <w:r w:rsidRPr="000F4347">
        <w:rPr>
          <w:bCs/>
          <w:i/>
          <w:lang w:val="en-US"/>
        </w:rPr>
        <w:t>M</w:t>
      </w:r>
      <w:proofErr w:type="gramEnd"/>
      <w:r w:rsidRPr="000F4347">
        <w:rPr>
          <w:bCs/>
          <w:vertAlign w:val="subscript"/>
        </w:rPr>
        <w:t>(1-</w:t>
      </w:r>
      <w:r w:rsidRPr="000F4347">
        <w:rPr>
          <w:bCs/>
          <w:vertAlign w:val="subscript"/>
          <w:lang w:val="en-US"/>
        </w:rPr>
        <w:t>y</w:t>
      </w:r>
      <w:r w:rsidRPr="000F4347">
        <w:rPr>
          <w:bCs/>
          <w:vertAlign w:val="subscript"/>
        </w:rPr>
        <w:t>)</w:t>
      </w:r>
      <w:r w:rsidRPr="000F4347">
        <w:rPr>
          <w:bCs/>
          <w:lang w:val="en-US"/>
        </w:rPr>
        <w:t>O</w:t>
      </w:r>
      <w:r w:rsidRPr="000F4347">
        <w:rPr>
          <w:bCs/>
          <w:vertAlign w:val="subscript"/>
        </w:rPr>
        <w:t>2</w:t>
      </w:r>
      <w:r w:rsidRPr="000F4347">
        <w:rPr>
          <w:bCs/>
        </w:rPr>
        <w:t xml:space="preserve"> (</w:t>
      </w:r>
      <w:r w:rsidRPr="000F4347">
        <w:rPr>
          <w:bCs/>
          <w:i/>
          <w:lang w:val="en-US"/>
        </w:rPr>
        <w:t>M</w:t>
      </w:r>
      <w:r w:rsidRPr="000F4347">
        <w:rPr>
          <w:bCs/>
        </w:rPr>
        <w:t xml:space="preserve"> = </w:t>
      </w:r>
      <w:r w:rsidRPr="000F4347">
        <w:rPr>
          <w:bCs/>
          <w:lang w:val="en-US"/>
        </w:rPr>
        <w:t>Mn</w:t>
      </w:r>
      <w:r>
        <w:rPr>
          <w:bCs/>
        </w:rPr>
        <w:t xml:space="preserve">, </w:t>
      </w:r>
      <w:r w:rsidRPr="000F4347">
        <w:rPr>
          <w:bCs/>
          <w:lang w:val="en-US"/>
        </w:rPr>
        <w:t>Ni</w:t>
      </w:r>
      <w:r>
        <w:rPr>
          <w:bCs/>
        </w:rPr>
        <w:t xml:space="preserve">, </w:t>
      </w:r>
      <w:r w:rsidRPr="000F4347">
        <w:rPr>
          <w:bCs/>
          <w:lang w:val="en-US"/>
        </w:rPr>
        <w:t>Co</w:t>
      </w:r>
      <w:r w:rsidRPr="000F4347">
        <w:rPr>
          <w:bCs/>
        </w:rPr>
        <w:t>)</w:t>
      </w:r>
      <w:r>
        <w:rPr>
          <w:bCs/>
        </w:rPr>
        <w:t xml:space="preserve"> перспективны в качестве катодных материалов </w:t>
      </w:r>
      <w:r w:rsidR="00D82F33">
        <w:rPr>
          <w:bCs/>
        </w:rPr>
        <w:t>ЛИА</w:t>
      </w:r>
      <w:r>
        <w:rPr>
          <w:bCs/>
        </w:rPr>
        <w:t xml:space="preserve">. </w:t>
      </w:r>
      <w:r w:rsidRPr="00D82F33">
        <w:rPr>
          <w:bCs/>
        </w:rPr>
        <w:t xml:space="preserve">В настоящее время нет единого мнения об отнесении </w:t>
      </w:r>
      <w:r w:rsidRPr="00D82F33">
        <w:rPr>
          <w:bCs/>
          <w:lang w:val="en-US"/>
        </w:rPr>
        <w:t>LR</w:t>
      </w:r>
      <w:r w:rsidRPr="00D82F33">
        <w:rPr>
          <w:bCs/>
        </w:rPr>
        <w:t>-оксидов к определённому типу структур</w:t>
      </w:r>
      <w:r w:rsidR="00122D43">
        <w:rPr>
          <w:bCs/>
        </w:rPr>
        <w:t xml:space="preserve">, которые рассматривают и как твердый раствор </w:t>
      </w:r>
      <w:r w:rsidR="00122D43" w:rsidRPr="00081C05">
        <w:rPr>
          <w:bCs/>
        </w:rPr>
        <w:t>Li</w:t>
      </w:r>
      <w:r w:rsidR="00122D43" w:rsidRPr="00081C05">
        <w:rPr>
          <w:bCs/>
          <w:vertAlign w:val="subscript"/>
        </w:rPr>
        <w:t>1+x</w:t>
      </w:r>
      <w:r w:rsidR="00122D43" w:rsidRPr="00081C05">
        <w:rPr>
          <w:bCs/>
        </w:rPr>
        <w:t>(</w:t>
      </w:r>
      <w:proofErr w:type="spellStart"/>
      <w:r w:rsidR="00122D43" w:rsidRPr="00081C05">
        <w:rPr>
          <w:bCs/>
        </w:rPr>
        <w:t>NiCoMn</w:t>
      </w:r>
      <w:proofErr w:type="spellEnd"/>
      <w:r w:rsidR="00122D43" w:rsidRPr="00081C05">
        <w:rPr>
          <w:bCs/>
        </w:rPr>
        <w:t>)</w:t>
      </w:r>
      <w:r w:rsidR="00122D43" w:rsidRPr="00081C05">
        <w:rPr>
          <w:bCs/>
          <w:vertAlign w:val="subscript"/>
        </w:rPr>
        <w:t>(1-x)/3</w:t>
      </w:r>
      <w:r w:rsidR="00122D43" w:rsidRPr="00081C05">
        <w:rPr>
          <w:bCs/>
        </w:rPr>
        <w:t>O</w:t>
      </w:r>
      <w:r w:rsidR="00122D43" w:rsidRPr="00081C05">
        <w:rPr>
          <w:bCs/>
          <w:vertAlign w:val="subscript"/>
        </w:rPr>
        <w:t>2</w:t>
      </w:r>
      <w:r w:rsidR="00122D43" w:rsidRPr="00D82F33">
        <w:rPr>
          <w:bCs/>
        </w:rPr>
        <w:t xml:space="preserve"> </w:t>
      </w:r>
      <w:r w:rsidR="00122D43">
        <w:rPr>
          <w:bCs/>
        </w:rPr>
        <w:t>и как состоящих из двух фаз</w:t>
      </w:r>
      <w:r w:rsidR="00122D43" w:rsidRPr="00122D43">
        <w:rPr>
          <w:bCs/>
        </w:rPr>
        <w:t xml:space="preserve"> </w:t>
      </w:r>
      <w:r w:rsidR="00122D43" w:rsidRPr="00081C05">
        <w:rPr>
          <w:bCs/>
        </w:rPr>
        <w:t>yLi</w:t>
      </w:r>
      <w:r w:rsidR="00122D43" w:rsidRPr="00081C05">
        <w:rPr>
          <w:bCs/>
          <w:vertAlign w:val="subscript"/>
        </w:rPr>
        <w:t>2</w:t>
      </w:r>
      <w:r w:rsidR="00122D43" w:rsidRPr="00081C05">
        <w:rPr>
          <w:bCs/>
        </w:rPr>
        <w:t>MnO</w:t>
      </w:r>
      <w:r w:rsidR="00122D43" w:rsidRPr="00081C05">
        <w:rPr>
          <w:bCs/>
          <w:vertAlign w:val="subscript"/>
        </w:rPr>
        <w:t>3</w:t>
      </w:r>
      <w:r w:rsidR="00122D43" w:rsidRPr="00081C05">
        <w:rPr>
          <w:bCs/>
        </w:rPr>
        <w:t>∙(1-</w:t>
      </w:r>
      <w:proofErr w:type="gramStart"/>
      <w:r w:rsidR="00122D43" w:rsidRPr="00081C05">
        <w:rPr>
          <w:bCs/>
        </w:rPr>
        <w:t>у)Li</w:t>
      </w:r>
      <w:r w:rsidR="00122D43" w:rsidRPr="00081C05">
        <w:rPr>
          <w:bCs/>
          <w:i/>
        </w:rPr>
        <w:t>M</w:t>
      </w:r>
      <w:r w:rsidR="00122D43" w:rsidRPr="00081C05">
        <w:rPr>
          <w:bCs/>
        </w:rPr>
        <w:t>O</w:t>
      </w:r>
      <w:proofErr w:type="gramEnd"/>
      <w:r w:rsidR="00122D43" w:rsidRPr="00081C05">
        <w:rPr>
          <w:bCs/>
          <w:vertAlign w:val="subscript"/>
        </w:rPr>
        <w:t>2</w:t>
      </w:r>
      <w:r>
        <w:rPr>
          <w:bCs/>
        </w:rPr>
        <w:t xml:space="preserve">. </w:t>
      </w:r>
      <w:r w:rsidR="00122D43">
        <w:rPr>
          <w:bCs/>
        </w:rPr>
        <w:t>Последняя запись наиболее удобна</w:t>
      </w:r>
      <w:r w:rsidRPr="00081C05">
        <w:rPr>
          <w:bCs/>
        </w:rPr>
        <w:t xml:space="preserve"> </w:t>
      </w:r>
      <w:r w:rsidR="00122D43">
        <w:rPr>
          <w:bCs/>
        </w:rPr>
        <w:t>д</w:t>
      </w:r>
      <w:r w:rsidR="00122D43" w:rsidRPr="00081C05">
        <w:rPr>
          <w:bCs/>
        </w:rPr>
        <w:t xml:space="preserve">ля </w:t>
      </w:r>
      <w:r w:rsidR="00122D43">
        <w:rPr>
          <w:bCs/>
        </w:rPr>
        <w:t xml:space="preserve">проведения синтеза и </w:t>
      </w:r>
      <w:r w:rsidRPr="00081C05">
        <w:rPr>
          <w:bCs/>
        </w:rPr>
        <w:t>лучшего понимания и удобства обсуждения.</w:t>
      </w:r>
      <w:r w:rsidR="00D82F33">
        <w:rPr>
          <w:bCs/>
        </w:rPr>
        <w:t xml:space="preserve"> </w:t>
      </w:r>
      <w:r w:rsidR="001A5014">
        <w:rPr>
          <w:bCs/>
        </w:rPr>
        <w:t>М</w:t>
      </w:r>
      <w:r w:rsidR="001C6578">
        <w:rPr>
          <w:bCs/>
        </w:rPr>
        <w:t>етодом</w:t>
      </w:r>
      <w:r w:rsidR="001C6578" w:rsidRPr="000C0B27">
        <w:t xml:space="preserve"> </w:t>
      </w:r>
      <w:proofErr w:type="spellStart"/>
      <w:r w:rsidR="001C6578">
        <w:rPr>
          <w:bCs/>
        </w:rPr>
        <w:t>соосаждения</w:t>
      </w:r>
      <w:proofErr w:type="spellEnd"/>
      <w:r w:rsidR="001C6578">
        <w:rPr>
          <w:bCs/>
        </w:rPr>
        <w:t xml:space="preserve"> </w:t>
      </w:r>
      <w:r w:rsidR="001A5014">
        <w:rPr>
          <w:bCs/>
        </w:rPr>
        <w:t>карбонатов переходных металлов</w:t>
      </w:r>
      <w:r w:rsidR="00D82F33">
        <w:rPr>
          <w:bCs/>
        </w:rPr>
        <w:t xml:space="preserve"> (ПМ)</w:t>
      </w:r>
      <w:r w:rsidR="001A5014">
        <w:rPr>
          <w:bCs/>
        </w:rPr>
        <w:t xml:space="preserve"> с последующим твердофазным синтезом с источником лития </w:t>
      </w:r>
      <w:r w:rsidR="001C6578">
        <w:rPr>
          <w:bCs/>
        </w:rPr>
        <w:t xml:space="preserve">были синтезированы несколько составов </w:t>
      </w:r>
      <w:r w:rsidR="001C6578">
        <w:rPr>
          <w:bCs/>
          <w:lang w:val="en-US"/>
        </w:rPr>
        <w:t>LR</w:t>
      </w:r>
      <w:r w:rsidR="001C6578" w:rsidRPr="00081C05">
        <w:rPr>
          <w:bCs/>
        </w:rPr>
        <w:t>-</w:t>
      </w:r>
      <w:r w:rsidR="001C6578">
        <w:rPr>
          <w:bCs/>
        </w:rPr>
        <w:t xml:space="preserve">оксидов, в которых исследовалось различное соотношение </w:t>
      </w:r>
      <w:r w:rsidR="00D82F33">
        <w:rPr>
          <w:bCs/>
        </w:rPr>
        <w:t>ПМ</w:t>
      </w:r>
      <w:r w:rsidR="001C6578">
        <w:rPr>
          <w:bCs/>
        </w:rPr>
        <w:t xml:space="preserve"> в «фазе» </w:t>
      </w:r>
      <w:proofErr w:type="spellStart"/>
      <w:r w:rsidR="001C6578">
        <w:rPr>
          <w:bCs/>
          <w:lang w:val="en-US"/>
        </w:rPr>
        <w:t>Li</w:t>
      </w:r>
      <w:r w:rsidR="001C6578" w:rsidRPr="00081C05">
        <w:rPr>
          <w:bCs/>
          <w:i/>
          <w:lang w:val="en-US"/>
        </w:rPr>
        <w:t>M</w:t>
      </w:r>
      <w:r w:rsidR="001C6578">
        <w:rPr>
          <w:bCs/>
          <w:lang w:val="en-US"/>
        </w:rPr>
        <w:t>O</w:t>
      </w:r>
      <w:proofErr w:type="spellEnd"/>
      <w:r w:rsidR="001C6578" w:rsidRPr="00081C05">
        <w:rPr>
          <w:bCs/>
          <w:vertAlign w:val="subscript"/>
        </w:rPr>
        <w:t>2</w:t>
      </w:r>
      <w:r w:rsidR="001C6578">
        <w:rPr>
          <w:bCs/>
        </w:rPr>
        <w:t xml:space="preserve">, и влияние соотношений «фаз» </w:t>
      </w:r>
      <w:r w:rsidR="001C6578">
        <w:rPr>
          <w:bCs/>
          <w:lang w:val="en-US"/>
        </w:rPr>
        <w:t>Li</w:t>
      </w:r>
      <w:r w:rsidR="001C6578" w:rsidRPr="00081C05">
        <w:rPr>
          <w:bCs/>
          <w:vertAlign w:val="subscript"/>
        </w:rPr>
        <w:t>2</w:t>
      </w:r>
      <w:proofErr w:type="spellStart"/>
      <w:r w:rsidR="001C6578">
        <w:rPr>
          <w:bCs/>
          <w:lang w:val="en-US"/>
        </w:rPr>
        <w:t>MnO</w:t>
      </w:r>
      <w:proofErr w:type="spellEnd"/>
      <w:r w:rsidR="001C6578" w:rsidRPr="00081C05">
        <w:rPr>
          <w:bCs/>
          <w:vertAlign w:val="subscript"/>
        </w:rPr>
        <w:t>3</w:t>
      </w:r>
      <w:r w:rsidR="001C6578" w:rsidRPr="00081C05">
        <w:rPr>
          <w:bCs/>
        </w:rPr>
        <w:t xml:space="preserve"> </w:t>
      </w:r>
      <w:r w:rsidR="001C6578">
        <w:rPr>
          <w:bCs/>
        </w:rPr>
        <w:t xml:space="preserve">и </w:t>
      </w:r>
      <w:proofErr w:type="spellStart"/>
      <w:r w:rsidR="001C6578">
        <w:rPr>
          <w:bCs/>
          <w:lang w:val="en-US"/>
        </w:rPr>
        <w:t>Li</w:t>
      </w:r>
      <w:r w:rsidR="001C6578" w:rsidRPr="00081C05">
        <w:rPr>
          <w:bCs/>
          <w:i/>
          <w:lang w:val="en-US"/>
        </w:rPr>
        <w:t>M</w:t>
      </w:r>
      <w:r w:rsidR="001C6578">
        <w:rPr>
          <w:bCs/>
          <w:lang w:val="en-US"/>
        </w:rPr>
        <w:t>O</w:t>
      </w:r>
      <w:proofErr w:type="spellEnd"/>
      <w:r w:rsidR="001C6578" w:rsidRPr="00081C05">
        <w:rPr>
          <w:bCs/>
          <w:vertAlign w:val="subscript"/>
        </w:rPr>
        <w:t>2</w:t>
      </w:r>
      <w:r w:rsidR="001C6578">
        <w:rPr>
          <w:bCs/>
        </w:rPr>
        <w:t xml:space="preserve"> на их конечные электрохимические свойства. Серия образцов </w:t>
      </w:r>
      <w:r w:rsidR="001C6578">
        <w:rPr>
          <w:bCs/>
          <w:lang w:val="en-US"/>
        </w:rPr>
        <w:t>LR</w:t>
      </w:r>
      <w:r w:rsidR="001C6578" w:rsidRPr="000C7417">
        <w:rPr>
          <w:bCs/>
        </w:rPr>
        <w:t>35</w:t>
      </w:r>
      <w:r w:rsidR="001C6578">
        <w:rPr>
          <w:bCs/>
        </w:rPr>
        <w:t xml:space="preserve"> с соотношением «фаз» 0.35/0.65 содержит составы: </w:t>
      </w:r>
      <w:r w:rsidR="001C6578">
        <w:rPr>
          <w:bCs/>
          <w:lang w:val="en-US"/>
        </w:rPr>
        <w:t>Li</w:t>
      </w:r>
      <w:r w:rsidR="001C6578" w:rsidRPr="000C7417">
        <w:rPr>
          <w:bCs/>
          <w:vertAlign w:val="subscript"/>
        </w:rPr>
        <w:t>1.149</w:t>
      </w:r>
      <w:r w:rsidR="001C6578">
        <w:rPr>
          <w:bCs/>
          <w:lang w:val="en-US"/>
        </w:rPr>
        <w:t>Ni</w:t>
      </w:r>
      <w:r w:rsidR="001C6578" w:rsidRPr="000C7417">
        <w:rPr>
          <w:bCs/>
          <w:vertAlign w:val="subscript"/>
        </w:rPr>
        <w:t>0.277</w:t>
      </w:r>
      <w:r w:rsidR="001C6578">
        <w:rPr>
          <w:bCs/>
          <w:lang w:val="en-US"/>
        </w:rPr>
        <w:t>Mn</w:t>
      </w:r>
      <w:r w:rsidR="001C6578" w:rsidRPr="000C7417">
        <w:rPr>
          <w:bCs/>
          <w:vertAlign w:val="subscript"/>
        </w:rPr>
        <w:t>0.574</w:t>
      </w:r>
      <w:r w:rsidR="001C6578">
        <w:rPr>
          <w:bCs/>
          <w:lang w:val="en-US"/>
        </w:rPr>
        <w:t>O</w:t>
      </w:r>
      <w:r w:rsidR="001C6578" w:rsidRPr="000C7417">
        <w:rPr>
          <w:bCs/>
          <w:vertAlign w:val="subscript"/>
        </w:rPr>
        <w:t>2</w:t>
      </w:r>
      <w:r w:rsidR="001C6578">
        <w:rPr>
          <w:bCs/>
          <w:vertAlign w:val="subscript"/>
        </w:rPr>
        <w:t xml:space="preserve"> </w:t>
      </w:r>
      <w:r w:rsidR="001C6578" w:rsidRPr="000C7417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0C7417">
        <w:rPr>
          <w:bCs/>
        </w:rPr>
        <w:t xml:space="preserve">35-1), </w:t>
      </w:r>
      <w:r w:rsidR="001C6578">
        <w:rPr>
          <w:bCs/>
          <w:lang w:val="en-US"/>
        </w:rPr>
        <w:t>Li</w:t>
      </w:r>
      <w:r w:rsidR="001C6578" w:rsidRPr="000C7417">
        <w:rPr>
          <w:bCs/>
          <w:vertAlign w:val="subscript"/>
        </w:rPr>
        <w:t>1.149</w:t>
      </w:r>
      <w:r w:rsidR="001C6578">
        <w:rPr>
          <w:bCs/>
          <w:lang w:val="en-US"/>
        </w:rPr>
        <w:t>Ni</w:t>
      </w:r>
      <w:r w:rsidR="001C6578">
        <w:rPr>
          <w:bCs/>
          <w:vertAlign w:val="subscript"/>
        </w:rPr>
        <w:t>0.332</w:t>
      </w:r>
      <w:r w:rsidR="001C6578">
        <w:rPr>
          <w:bCs/>
          <w:lang w:val="en-US"/>
        </w:rPr>
        <w:t>Mn</w:t>
      </w:r>
      <w:r w:rsidR="001C6578">
        <w:rPr>
          <w:bCs/>
          <w:vertAlign w:val="subscript"/>
        </w:rPr>
        <w:t>0.519</w:t>
      </w:r>
      <w:r w:rsidR="001C6578">
        <w:rPr>
          <w:bCs/>
          <w:lang w:val="en-US"/>
        </w:rPr>
        <w:t>O</w:t>
      </w:r>
      <w:r w:rsidR="001C6578">
        <w:rPr>
          <w:bCs/>
          <w:vertAlign w:val="subscript"/>
        </w:rPr>
        <w:t>1.</w:t>
      </w:r>
      <w:r w:rsidR="001C6578" w:rsidRPr="000C7417">
        <w:rPr>
          <w:bCs/>
          <w:vertAlign w:val="subscript"/>
        </w:rPr>
        <w:t>95</w:t>
      </w:r>
      <w:r w:rsidR="001C6578">
        <w:rPr>
          <w:bCs/>
          <w:vertAlign w:val="subscript"/>
        </w:rPr>
        <w:t xml:space="preserve"> </w:t>
      </w:r>
      <w:r w:rsidR="001C6578" w:rsidRPr="000C7417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0C7417">
        <w:rPr>
          <w:bCs/>
        </w:rPr>
        <w:t xml:space="preserve">35-2), </w:t>
      </w:r>
      <w:r w:rsidR="001C6578">
        <w:rPr>
          <w:bCs/>
          <w:lang w:val="en-US"/>
        </w:rPr>
        <w:t>Li</w:t>
      </w:r>
      <w:r w:rsidR="001C6578" w:rsidRPr="000C7417">
        <w:rPr>
          <w:bCs/>
          <w:vertAlign w:val="subscript"/>
        </w:rPr>
        <w:t>1.149</w:t>
      </w:r>
      <w:r w:rsidR="001C6578">
        <w:rPr>
          <w:bCs/>
          <w:lang w:val="en-US"/>
        </w:rPr>
        <w:t>Ni</w:t>
      </w:r>
      <w:r w:rsidR="001C6578">
        <w:rPr>
          <w:bCs/>
          <w:vertAlign w:val="subscript"/>
        </w:rPr>
        <w:t>0.221</w:t>
      </w:r>
      <w:r w:rsidR="001C6578">
        <w:rPr>
          <w:bCs/>
          <w:lang w:val="en-US"/>
        </w:rPr>
        <w:t>Mn</w:t>
      </w:r>
      <w:r w:rsidR="001C6578">
        <w:rPr>
          <w:bCs/>
          <w:vertAlign w:val="subscript"/>
        </w:rPr>
        <w:t>0.519</w:t>
      </w:r>
      <w:r w:rsidR="001C6578" w:rsidRPr="000C7417">
        <w:rPr>
          <w:bCs/>
          <w:lang w:val="en-US"/>
        </w:rPr>
        <w:t>Co</w:t>
      </w:r>
      <w:r w:rsidR="001C6578" w:rsidRPr="000C7417">
        <w:rPr>
          <w:bCs/>
          <w:vertAlign w:val="subscript"/>
        </w:rPr>
        <w:t>0.111</w:t>
      </w:r>
      <w:r w:rsidR="001C6578">
        <w:rPr>
          <w:bCs/>
          <w:lang w:val="en-US"/>
        </w:rPr>
        <w:t>O</w:t>
      </w:r>
      <w:r w:rsidR="001C6578" w:rsidRPr="000C7417">
        <w:rPr>
          <w:bCs/>
          <w:vertAlign w:val="subscript"/>
        </w:rPr>
        <w:t>2</w:t>
      </w:r>
      <w:r w:rsidR="001C6578">
        <w:rPr>
          <w:bCs/>
          <w:vertAlign w:val="subscript"/>
        </w:rPr>
        <w:t xml:space="preserve"> </w:t>
      </w:r>
      <w:r w:rsidR="001C6578" w:rsidRPr="000C7417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0C7417">
        <w:rPr>
          <w:bCs/>
        </w:rPr>
        <w:t>35-3)</w:t>
      </w:r>
      <w:r w:rsidR="001C6578">
        <w:rPr>
          <w:bCs/>
        </w:rPr>
        <w:t xml:space="preserve">, а серия образцов </w:t>
      </w:r>
      <w:r w:rsidR="001C6578">
        <w:rPr>
          <w:bCs/>
          <w:lang w:val="en-US"/>
        </w:rPr>
        <w:t>LR</w:t>
      </w:r>
      <w:r w:rsidR="001C6578">
        <w:rPr>
          <w:bCs/>
        </w:rPr>
        <w:t xml:space="preserve">50 (0.50/0.50) включает следующие составы: </w:t>
      </w:r>
      <w:r w:rsidR="001C6578">
        <w:rPr>
          <w:bCs/>
          <w:lang w:val="en-US"/>
        </w:rPr>
        <w:t>Li</w:t>
      </w:r>
      <w:r w:rsidR="001C6578">
        <w:rPr>
          <w:bCs/>
          <w:vertAlign w:val="subscript"/>
        </w:rPr>
        <w:t>1.28</w:t>
      </w:r>
      <w:r w:rsidR="001C6578">
        <w:rPr>
          <w:bCs/>
          <w:lang w:val="en-US"/>
        </w:rPr>
        <w:t>Ni</w:t>
      </w:r>
      <w:r w:rsidR="001C6578">
        <w:rPr>
          <w:bCs/>
          <w:vertAlign w:val="subscript"/>
        </w:rPr>
        <w:t>0.21</w:t>
      </w:r>
      <w:r w:rsidR="001C6578">
        <w:rPr>
          <w:bCs/>
          <w:lang w:val="en-US"/>
        </w:rPr>
        <w:t>Mn</w:t>
      </w:r>
      <w:r w:rsidR="001C6578">
        <w:rPr>
          <w:bCs/>
          <w:vertAlign w:val="subscript"/>
        </w:rPr>
        <w:t>0.64</w:t>
      </w:r>
      <w:r w:rsidR="001C6578">
        <w:rPr>
          <w:bCs/>
          <w:lang w:val="en-US"/>
        </w:rPr>
        <w:t>O</w:t>
      </w:r>
      <w:r w:rsidR="001C6578" w:rsidRPr="000C7417">
        <w:rPr>
          <w:bCs/>
          <w:vertAlign w:val="subscript"/>
        </w:rPr>
        <w:t>2</w:t>
      </w:r>
      <w:r w:rsidR="001C6578" w:rsidRPr="009B6979">
        <w:rPr>
          <w:bCs/>
          <w:vertAlign w:val="subscript"/>
        </w:rPr>
        <w:t>.13</w:t>
      </w:r>
      <w:r w:rsidR="001C6578">
        <w:rPr>
          <w:bCs/>
          <w:vertAlign w:val="subscript"/>
        </w:rPr>
        <w:t xml:space="preserve"> </w:t>
      </w:r>
      <w:r w:rsidR="001C6578" w:rsidRPr="009B6979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9B6979">
        <w:rPr>
          <w:bCs/>
        </w:rPr>
        <w:t xml:space="preserve">50-1), </w:t>
      </w:r>
      <w:r w:rsidR="001C6578">
        <w:rPr>
          <w:bCs/>
          <w:lang w:val="en-US"/>
        </w:rPr>
        <w:t>Li</w:t>
      </w:r>
      <w:r w:rsidR="001C6578">
        <w:rPr>
          <w:bCs/>
          <w:vertAlign w:val="subscript"/>
        </w:rPr>
        <w:t>1.28</w:t>
      </w:r>
      <w:r w:rsidR="001C6578">
        <w:rPr>
          <w:bCs/>
          <w:lang w:val="en-US"/>
        </w:rPr>
        <w:t>Ni</w:t>
      </w:r>
      <w:r w:rsidR="001C6578">
        <w:rPr>
          <w:bCs/>
          <w:vertAlign w:val="subscript"/>
        </w:rPr>
        <w:t>0.26</w:t>
      </w:r>
      <w:r w:rsidR="001C6578">
        <w:rPr>
          <w:bCs/>
          <w:lang w:val="en-US"/>
        </w:rPr>
        <w:t>Mn</w:t>
      </w:r>
      <w:r w:rsidR="001C6578">
        <w:rPr>
          <w:bCs/>
          <w:vertAlign w:val="subscript"/>
        </w:rPr>
        <w:t>0.60</w:t>
      </w:r>
      <w:r w:rsidR="001C6578">
        <w:rPr>
          <w:bCs/>
          <w:lang w:val="en-US"/>
        </w:rPr>
        <w:t>O</w:t>
      </w:r>
      <w:r w:rsidR="001C6578" w:rsidRPr="009B6979">
        <w:rPr>
          <w:bCs/>
          <w:vertAlign w:val="subscript"/>
        </w:rPr>
        <w:t xml:space="preserve">2.09 </w:t>
      </w:r>
      <w:r w:rsidR="001C6578" w:rsidRPr="009B6979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9B6979">
        <w:rPr>
          <w:bCs/>
        </w:rPr>
        <w:t xml:space="preserve">50-2), </w:t>
      </w:r>
      <w:r w:rsidR="001C6578">
        <w:rPr>
          <w:bCs/>
          <w:lang w:val="en-US"/>
        </w:rPr>
        <w:t>Li</w:t>
      </w:r>
      <w:r w:rsidR="001C6578">
        <w:rPr>
          <w:bCs/>
          <w:vertAlign w:val="subscript"/>
        </w:rPr>
        <w:t>1.28</w:t>
      </w:r>
      <w:r w:rsidR="001C6578">
        <w:rPr>
          <w:bCs/>
          <w:lang w:val="en-US"/>
        </w:rPr>
        <w:t>Ni</w:t>
      </w:r>
      <w:r w:rsidR="001C6578">
        <w:rPr>
          <w:bCs/>
          <w:vertAlign w:val="subscript"/>
        </w:rPr>
        <w:t>0.26</w:t>
      </w:r>
      <w:r w:rsidR="001C6578">
        <w:rPr>
          <w:bCs/>
          <w:lang w:val="en-US"/>
        </w:rPr>
        <w:t>Mn</w:t>
      </w:r>
      <w:r w:rsidR="001C6578">
        <w:rPr>
          <w:bCs/>
          <w:vertAlign w:val="subscript"/>
        </w:rPr>
        <w:t>0.51</w:t>
      </w:r>
      <w:r w:rsidR="001C6578" w:rsidRPr="000C7417">
        <w:rPr>
          <w:bCs/>
          <w:lang w:val="en-US"/>
        </w:rPr>
        <w:t>Co</w:t>
      </w:r>
      <w:r w:rsidR="001C6578">
        <w:rPr>
          <w:bCs/>
          <w:vertAlign w:val="subscript"/>
        </w:rPr>
        <w:t>0.09</w:t>
      </w:r>
      <w:r w:rsidR="001C6578">
        <w:rPr>
          <w:bCs/>
          <w:lang w:val="en-US"/>
        </w:rPr>
        <w:t>O</w:t>
      </w:r>
      <w:r w:rsidR="001C6578" w:rsidRPr="009B6979">
        <w:rPr>
          <w:bCs/>
          <w:vertAlign w:val="subscript"/>
        </w:rPr>
        <w:t xml:space="preserve">2.09 </w:t>
      </w:r>
      <w:r w:rsidR="001C6578" w:rsidRPr="009B6979">
        <w:rPr>
          <w:bCs/>
        </w:rPr>
        <w:t>(</w:t>
      </w:r>
      <w:r w:rsidR="001C6578">
        <w:rPr>
          <w:bCs/>
          <w:lang w:val="en-US"/>
        </w:rPr>
        <w:t>LR</w:t>
      </w:r>
      <w:r w:rsidR="001C6578" w:rsidRPr="009B6979">
        <w:rPr>
          <w:bCs/>
        </w:rPr>
        <w:t>50-3)</w:t>
      </w:r>
      <w:r w:rsidR="001C6578">
        <w:rPr>
          <w:bCs/>
        </w:rPr>
        <w:t xml:space="preserve">. Традиционная триада </w:t>
      </w:r>
      <w:r w:rsidR="00D82F33">
        <w:rPr>
          <w:bCs/>
        </w:rPr>
        <w:t>ПМ:</w:t>
      </w:r>
      <w:r w:rsidR="001C6578">
        <w:rPr>
          <w:bCs/>
        </w:rPr>
        <w:t xml:space="preserve"> </w:t>
      </w:r>
      <w:r w:rsidR="001C6578">
        <w:rPr>
          <w:bCs/>
          <w:lang w:val="en-US"/>
        </w:rPr>
        <w:t>Ni</w:t>
      </w:r>
      <w:r w:rsidR="001C6578" w:rsidRPr="000C0B27">
        <w:rPr>
          <w:bCs/>
        </w:rPr>
        <w:t xml:space="preserve">, </w:t>
      </w:r>
      <w:r w:rsidR="001C6578">
        <w:rPr>
          <w:bCs/>
          <w:lang w:val="en-US"/>
        </w:rPr>
        <w:t>Co</w:t>
      </w:r>
      <w:r w:rsidR="001C6578" w:rsidRPr="000C0B27">
        <w:rPr>
          <w:bCs/>
        </w:rPr>
        <w:t xml:space="preserve"> </w:t>
      </w:r>
      <w:r w:rsidR="001C6578">
        <w:rPr>
          <w:bCs/>
        </w:rPr>
        <w:t xml:space="preserve">и </w:t>
      </w:r>
      <w:r w:rsidR="001C6578">
        <w:rPr>
          <w:bCs/>
          <w:lang w:val="en-US"/>
        </w:rPr>
        <w:t>Mn</w:t>
      </w:r>
      <w:r w:rsidR="001C6578" w:rsidRPr="000C0B27">
        <w:rPr>
          <w:bCs/>
        </w:rPr>
        <w:t xml:space="preserve"> </w:t>
      </w:r>
      <w:r w:rsidR="001C6578">
        <w:rPr>
          <w:bCs/>
        </w:rPr>
        <w:t>в литированных оксидных катодных материал</w:t>
      </w:r>
      <w:r w:rsidR="00D82F33">
        <w:rPr>
          <w:bCs/>
        </w:rPr>
        <w:t>ов сложилась с начала 2000 г.</w:t>
      </w:r>
      <w:r w:rsidR="001C6578">
        <w:rPr>
          <w:bCs/>
        </w:rPr>
        <w:t xml:space="preserve">, но с течением времени наметилась тенденция к увеличению содержания </w:t>
      </w:r>
      <w:r w:rsidR="00D82F33">
        <w:rPr>
          <w:bCs/>
          <w:lang w:val="en-US"/>
        </w:rPr>
        <w:t>Ni</w:t>
      </w:r>
      <w:r w:rsidR="001C6578">
        <w:rPr>
          <w:bCs/>
        </w:rPr>
        <w:t xml:space="preserve"> в составе с одновременным уменьшением содержания </w:t>
      </w:r>
      <w:r w:rsidR="00D82F33">
        <w:rPr>
          <w:bCs/>
          <w:lang w:val="en-US"/>
        </w:rPr>
        <w:t>Co</w:t>
      </w:r>
      <w:r w:rsidR="00E86994">
        <w:rPr>
          <w:bCs/>
        </w:rPr>
        <w:t>, прежде всего имея в виду его дороговизну</w:t>
      </w:r>
      <w:r w:rsidR="001C6578">
        <w:rPr>
          <w:bCs/>
        </w:rPr>
        <w:t xml:space="preserve">. С одной стороны, </w:t>
      </w:r>
      <w:r w:rsidR="00D82F33">
        <w:rPr>
          <w:bCs/>
          <w:lang w:val="en-US"/>
        </w:rPr>
        <w:t>Co</w:t>
      </w:r>
      <w:r w:rsidR="001C6578">
        <w:rPr>
          <w:bCs/>
        </w:rPr>
        <w:t xml:space="preserve"> безусловно увеличивает начальные значения удельной разрядной емкости за счет протекания электродной реакции </w:t>
      </w:r>
      <w:r w:rsidR="001C6578">
        <w:rPr>
          <w:bCs/>
          <w:lang w:val="en-US"/>
        </w:rPr>
        <w:t>Co</w:t>
      </w:r>
      <w:r w:rsidR="001C6578" w:rsidRPr="00361C2C">
        <w:rPr>
          <w:bCs/>
          <w:vertAlign w:val="superscript"/>
        </w:rPr>
        <w:t>2+</w:t>
      </w:r>
      <w:r w:rsidR="00DA161D">
        <w:rPr>
          <w:bCs/>
        </w:rPr>
        <w:t xml:space="preserve">- </w:t>
      </w:r>
      <w:r w:rsidR="001C6578">
        <w:rPr>
          <w:bCs/>
          <w:lang w:val="en-US"/>
        </w:rPr>
        <w:t>Co</w:t>
      </w:r>
      <w:r w:rsidR="001C6578" w:rsidRPr="00361C2C">
        <w:rPr>
          <w:bCs/>
          <w:vertAlign w:val="superscript"/>
        </w:rPr>
        <w:t>3+</w:t>
      </w:r>
      <w:r w:rsidR="001C6578">
        <w:rPr>
          <w:bCs/>
        </w:rPr>
        <w:t xml:space="preserve"> и</w:t>
      </w:r>
      <w:r w:rsidR="001C6578" w:rsidRPr="00361C2C">
        <w:rPr>
          <w:bCs/>
        </w:rPr>
        <w:t xml:space="preserve"> </w:t>
      </w:r>
      <w:r w:rsidR="001C6578">
        <w:rPr>
          <w:bCs/>
        </w:rPr>
        <w:t xml:space="preserve">способствуя реакции окисления </w:t>
      </w:r>
      <w:r w:rsidR="001C6578">
        <w:rPr>
          <w:bCs/>
          <w:lang w:val="en-US"/>
        </w:rPr>
        <w:t>O</w:t>
      </w:r>
      <w:r w:rsidR="001C6578" w:rsidRPr="00361C2C">
        <w:rPr>
          <w:bCs/>
          <w:vertAlign w:val="superscript"/>
        </w:rPr>
        <w:t>2-</w:t>
      </w:r>
      <w:r w:rsidR="001C6578">
        <w:rPr>
          <w:bCs/>
        </w:rPr>
        <w:t xml:space="preserve"> при значении напряжения выше 4.5</w:t>
      </w:r>
      <w:r w:rsidR="00D82F33">
        <w:rPr>
          <w:bCs/>
        </w:rPr>
        <w:t xml:space="preserve"> </w:t>
      </w:r>
      <w:r w:rsidR="001C6578">
        <w:rPr>
          <w:bCs/>
        </w:rPr>
        <w:t xml:space="preserve">В, но в то же время из-за выделения кислорода </w:t>
      </w:r>
      <w:r w:rsidR="00E17FEE">
        <w:rPr>
          <w:bCs/>
        </w:rPr>
        <w:t xml:space="preserve">возможна более быстрая </w:t>
      </w:r>
      <w:r w:rsidR="001C6578">
        <w:rPr>
          <w:bCs/>
        </w:rPr>
        <w:t xml:space="preserve">фазовая трансформация структуры, ведущая к деградации материала. Результаты предварительных испытаний </w:t>
      </w:r>
      <w:r w:rsidR="00122D43">
        <w:rPr>
          <w:bCs/>
        </w:rPr>
        <w:t>показали</w:t>
      </w:r>
      <w:r w:rsidR="001C6578">
        <w:rPr>
          <w:bCs/>
        </w:rPr>
        <w:t xml:space="preserve">, что </w:t>
      </w:r>
      <w:r w:rsidR="00706643">
        <w:rPr>
          <w:bCs/>
        </w:rPr>
        <w:t xml:space="preserve">разрядная емкость возрастает с увеличением содержанием </w:t>
      </w:r>
      <w:r w:rsidR="00D82F33">
        <w:rPr>
          <w:bCs/>
          <w:lang w:val="en-US"/>
        </w:rPr>
        <w:t>Mn</w:t>
      </w:r>
      <w:r w:rsidR="00706643">
        <w:rPr>
          <w:bCs/>
        </w:rPr>
        <w:t xml:space="preserve"> в образцах. Вместе с тем, при одинаковом </w:t>
      </w:r>
      <w:r w:rsidR="001C6578">
        <w:rPr>
          <w:bCs/>
        </w:rPr>
        <w:t>содержани</w:t>
      </w:r>
      <w:r w:rsidR="00706643">
        <w:rPr>
          <w:bCs/>
        </w:rPr>
        <w:t xml:space="preserve">и </w:t>
      </w:r>
      <w:r w:rsidR="00D82F33">
        <w:rPr>
          <w:bCs/>
          <w:lang w:val="en-US"/>
        </w:rPr>
        <w:t>Mn</w:t>
      </w:r>
      <w:r w:rsidR="00706643">
        <w:rPr>
          <w:bCs/>
        </w:rPr>
        <w:t xml:space="preserve"> в оксидах</w:t>
      </w:r>
      <w:r w:rsidR="00E17FEE">
        <w:rPr>
          <w:bCs/>
        </w:rPr>
        <w:t xml:space="preserve">, </w:t>
      </w:r>
      <w:r w:rsidR="00B60809">
        <w:rPr>
          <w:bCs/>
        </w:rPr>
        <w:t>большую емкость</w:t>
      </w:r>
      <w:r w:rsidR="00E17FEE">
        <w:rPr>
          <w:bCs/>
        </w:rPr>
        <w:t xml:space="preserve"> показал образ</w:t>
      </w:r>
      <w:r w:rsidR="00F53260">
        <w:rPr>
          <w:bCs/>
        </w:rPr>
        <w:t>ец</w:t>
      </w:r>
      <w:r w:rsidR="00E17FEE">
        <w:rPr>
          <w:bCs/>
        </w:rPr>
        <w:t xml:space="preserve"> с </w:t>
      </w:r>
      <w:r w:rsidR="00D82F33">
        <w:rPr>
          <w:bCs/>
          <w:lang w:val="en-US"/>
        </w:rPr>
        <w:t>Co</w:t>
      </w:r>
      <w:r w:rsidR="00E17FEE">
        <w:rPr>
          <w:bCs/>
        </w:rPr>
        <w:t xml:space="preserve"> в его составе</w:t>
      </w:r>
      <w:r w:rsidR="00B60809">
        <w:rPr>
          <w:bCs/>
        </w:rPr>
        <w:t xml:space="preserve">, однако при увеличении скорости </w:t>
      </w:r>
      <w:proofErr w:type="spellStart"/>
      <w:r w:rsidR="00B60809">
        <w:rPr>
          <w:bCs/>
        </w:rPr>
        <w:t>циклирования</w:t>
      </w:r>
      <w:proofErr w:type="spellEnd"/>
      <w:r w:rsidR="00B60809">
        <w:rPr>
          <w:bCs/>
        </w:rPr>
        <w:t xml:space="preserve"> этот образец </w:t>
      </w:r>
      <w:proofErr w:type="spellStart"/>
      <w:r w:rsidR="00B60809">
        <w:rPr>
          <w:bCs/>
        </w:rPr>
        <w:t>циклируется</w:t>
      </w:r>
      <w:proofErr w:type="spellEnd"/>
      <w:r w:rsidR="00B60809">
        <w:rPr>
          <w:bCs/>
        </w:rPr>
        <w:t xml:space="preserve"> хуже</w:t>
      </w:r>
      <w:r w:rsidR="00E17FEE">
        <w:rPr>
          <w:bCs/>
        </w:rPr>
        <w:t xml:space="preserve"> </w:t>
      </w:r>
      <w:r w:rsidR="001C6578">
        <w:rPr>
          <w:bCs/>
        </w:rPr>
        <w:t xml:space="preserve">(см. </w:t>
      </w:r>
      <w:r w:rsidR="00D82F33">
        <w:rPr>
          <w:bCs/>
        </w:rPr>
        <w:t>Табл</w:t>
      </w:r>
      <w:r w:rsidR="001C6578">
        <w:rPr>
          <w:bCs/>
        </w:rPr>
        <w:t>. 1)</w:t>
      </w:r>
      <w:r w:rsidR="00D82F33">
        <w:rPr>
          <w:bCs/>
        </w:rPr>
        <w:t>.</w:t>
      </w:r>
    </w:p>
    <w:p w14:paraId="7DA91F66" w14:textId="77777777" w:rsidR="00917186" w:rsidRDefault="00917186" w:rsidP="00917186">
      <w:pPr>
        <w:ind w:right="136" w:firstLine="397"/>
        <w:jc w:val="both"/>
        <w:rPr>
          <w:bCs/>
        </w:rPr>
      </w:pPr>
    </w:p>
    <w:p w14:paraId="3097F1F6" w14:textId="77777777" w:rsidR="00FE4A20" w:rsidRPr="00917186" w:rsidRDefault="00FE4A20" w:rsidP="00917186">
      <w:pPr>
        <w:pStyle w:val="BodyLNoTab"/>
        <w:spacing w:line="240" w:lineRule="auto"/>
        <w:ind w:right="112" w:firstLine="0"/>
        <w:rPr>
          <w:sz w:val="24"/>
          <w:szCs w:val="24"/>
        </w:rPr>
      </w:pPr>
      <w:r w:rsidRPr="00917186">
        <w:rPr>
          <w:sz w:val="24"/>
          <w:szCs w:val="24"/>
        </w:rPr>
        <w:t>Таблица 1. Значения удельной разрядной емкости и остаточная емкость в процентах после циклирования.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1559"/>
        <w:gridCol w:w="993"/>
        <w:gridCol w:w="1417"/>
        <w:gridCol w:w="1559"/>
        <w:gridCol w:w="993"/>
      </w:tblGrid>
      <w:tr w:rsidR="00FE4A20" w:rsidRPr="00D82F33" w14:paraId="6F188351" w14:textId="77777777" w:rsidTr="00917186">
        <w:trPr>
          <w:trHeight w:val="783"/>
          <w:jc w:val="center"/>
        </w:trPr>
        <w:tc>
          <w:tcPr>
            <w:tcW w:w="997" w:type="dxa"/>
          </w:tcPr>
          <w:p w14:paraId="502A3E3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Образец</w:t>
            </w:r>
          </w:p>
        </w:tc>
        <w:tc>
          <w:tcPr>
            <w:tcW w:w="1408" w:type="dxa"/>
          </w:tcPr>
          <w:p w14:paraId="7FA1814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vertAlign w:val="subscript"/>
                <w:lang w:val="ru-RU"/>
              </w:rPr>
              <w:t>раз.</w:t>
            </w:r>
            <w:r w:rsidRPr="00D82F33">
              <w:rPr>
                <w:sz w:val="22"/>
                <w:szCs w:val="22"/>
                <w:lang w:val="ru-RU"/>
              </w:rPr>
              <w:t xml:space="preserve"> </w:t>
            </w:r>
          </w:p>
          <w:p w14:paraId="181FE87E" w14:textId="459736F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1 цикл/</w:t>
            </w:r>
            <w:r w:rsidR="00D82F33">
              <w:rPr>
                <w:sz w:val="22"/>
                <w:szCs w:val="22"/>
                <w:lang w:val="ru-RU"/>
              </w:rPr>
              <w:t xml:space="preserve"> </w:t>
            </w:r>
            <w:r w:rsidRPr="00D82F33">
              <w:rPr>
                <w:sz w:val="22"/>
                <w:szCs w:val="22"/>
                <w:lang w:val="ru-RU"/>
              </w:rPr>
              <w:t>0.1С</w:t>
            </w:r>
          </w:p>
        </w:tc>
        <w:tc>
          <w:tcPr>
            <w:tcW w:w="1559" w:type="dxa"/>
          </w:tcPr>
          <w:p w14:paraId="1B26E36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vertAlign w:val="subscript"/>
                <w:lang w:val="ru-RU"/>
              </w:rPr>
              <w:t>раз.</w:t>
            </w:r>
            <w:r w:rsidRPr="00D82F33">
              <w:rPr>
                <w:sz w:val="22"/>
                <w:szCs w:val="22"/>
                <w:lang w:val="ru-RU"/>
              </w:rPr>
              <w:t xml:space="preserve"> </w:t>
            </w:r>
          </w:p>
          <w:p w14:paraId="7DFE6F28" w14:textId="7685409A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40 цикл/</w:t>
            </w:r>
            <w:r w:rsidR="00D82F33">
              <w:rPr>
                <w:sz w:val="22"/>
                <w:szCs w:val="22"/>
                <w:lang w:val="ru-RU"/>
              </w:rPr>
              <w:t xml:space="preserve"> </w:t>
            </w:r>
            <w:r w:rsidRPr="00D82F33">
              <w:rPr>
                <w:sz w:val="22"/>
                <w:szCs w:val="22"/>
                <w:lang w:val="ru-RU"/>
              </w:rPr>
              <w:t>0.1С</w:t>
            </w:r>
          </w:p>
        </w:tc>
        <w:tc>
          <w:tcPr>
            <w:tcW w:w="993" w:type="dxa"/>
          </w:tcPr>
          <w:p w14:paraId="24FB3E7B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lang w:val="ru-RU"/>
              </w:rPr>
              <w:t xml:space="preserve"> ост,%</w:t>
            </w:r>
          </w:p>
          <w:p w14:paraId="5598AC5B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0.1С</w:t>
            </w:r>
          </w:p>
        </w:tc>
        <w:tc>
          <w:tcPr>
            <w:tcW w:w="1417" w:type="dxa"/>
          </w:tcPr>
          <w:p w14:paraId="5D18F753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vertAlign w:val="subscript"/>
                <w:lang w:val="ru-RU"/>
              </w:rPr>
              <w:t>раз.</w:t>
            </w:r>
            <w:r w:rsidRPr="00D82F33">
              <w:rPr>
                <w:sz w:val="22"/>
                <w:szCs w:val="22"/>
                <w:lang w:val="ru-RU"/>
              </w:rPr>
              <w:t xml:space="preserve"> </w:t>
            </w:r>
          </w:p>
          <w:p w14:paraId="040517C3" w14:textId="4AF0DC29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1 цикл/</w:t>
            </w:r>
            <w:r w:rsidR="00D82F33">
              <w:rPr>
                <w:sz w:val="22"/>
                <w:szCs w:val="22"/>
                <w:lang w:val="ru-RU"/>
              </w:rPr>
              <w:t xml:space="preserve"> </w:t>
            </w:r>
            <w:r w:rsidRPr="00D82F33">
              <w:rPr>
                <w:sz w:val="22"/>
                <w:szCs w:val="22"/>
                <w:lang w:val="ru-RU"/>
              </w:rPr>
              <w:t>0.5С</w:t>
            </w:r>
          </w:p>
        </w:tc>
        <w:tc>
          <w:tcPr>
            <w:tcW w:w="1559" w:type="dxa"/>
          </w:tcPr>
          <w:p w14:paraId="526D33D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vertAlign w:val="subscript"/>
                <w:lang w:val="ru-RU"/>
              </w:rPr>
              <w:t>раз.</w:t>
            </w:r>
            <w:r w:rsidRPr="00D82F33">
              <w:rPr>
                <w:sz w:val="22"/>
                <w:szCs w:val="22"/>
                <w:lang w:val="ru-RU"/>
              </w:rPr>
              <w:t xml:space="preserve"> </w:t>
            </w:r>
          </w:p>
          <w:p w14:paraId="0633CCE7" w14:textId="720E4AC4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40</w:t>
            </w:r>
            <w:r w:rsidRPr="00D82F33">
              <w:rPr>
                <w:sz w:val="22"/>
                <w:szCs w:val="22"/>
                <w:lang w:val="ru-RU"/>
              </w:rPr>
              <w:t xml:space="preserve"> цикл/</w:t>
            </w:r>
            <w:r w:rsidR="00D82F33">
              <w:rPr>
                <w:sz w:val="22"/>
                <w:szCs w:val="22"/>
                <w:lang w:val="ru-RU"/>
              </w:rPr>
              <w:t xml:space="preserve"> </w:t>
            </w:r>
            <w:r w:rsidRPr="00D82F33">
              <w:rPr>
                <w:sz w:val="22"/>
                <w:szCs w:val="22"/>
                <w:lang w:val="ru-RU"/>
              </w:rPr>
              <w:t>0.5С</w:t>
            </w:r>
          </w:p>
        </w:tc>
        <w:tc>
          <w:tcPr>
            <w:tcW w:w="993" w:type="dxa"/>
          </w:tcPr>
          <w:p w14:paraId="0C487377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Q</w:t>
            </w:r>
            <w:r w:rsidRPr="00D82F33">
              <w:rPr>
                <w:sz w:val="22"/>
                <w:szCs w:val="22"/>
                <w:lang w:val="ru-RU"/>
              </w:rPr>
              <w:t xml:space="preserve"> ост,%</w:t>
            </w:r>
          </w:p>
          <w:p w14:paraId="528262E3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0.5С</w:t>
            </w:r>
          </w:p>
        </w:tc>
      </w:tr>
      <w:tr w:rsidR="00FE4A20" w:rsidRPr="00D82F33" w14:paraId="2F7AF1EA" w14:textId="77777777" w:rsidTr="00917186">
        <w:trPr>
          <w:trHeight w:val="434"/>
          <w:jc w:val="center"/>
        </w:trPr>
        <w:tc>
          <w:tcPr>
            <w:tcW w:w="997" w:type="dxa"/>
          </w:tcPr>
          <w:p w14:paraId="1A72A700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35-1</w:t>
            </w:r>
          </w:p>
        </w:tc>
        <w:tc>
          <w:tcPr>
            <w:tcW w:w="1408" w:type="dxa"/>
          </w:tcPr>
          <w:p w14:paraId="3B7D661E" w14:textId="390FBC85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253.4</w:t>
            </w:r>
          </w:p>
        </w:tc>
        <w:tc>
          <w:tcPr>
            <w:tcW w:w="1559" w:type="dxa"/>
          </w:tcPr>
          <w:p w14:paraId="54C372CD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238.3</w:t>
            </w:r>
          </w:p>
        </w:tc>
        <w:tc>
          <w:tcPr>
            <w:tcW w:w="993" w:type="dxa"/>
          </w:tcPr>
          <w:p w14:paraId="6917FD82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94.1</w:t>
            </w:r>
          </w:p>
        </w:tc>
        <w:tc>
          <w:tcPr>
            <w:tcW w:w="1417" w:type="dxa"/>
          </w:tcPr>
          <w:p w14:paraId="586558AA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207.8</w:t>
            </w:r>
          </w:p>
        </w:tc>
        <w:tc>
          <w:tcPr>
            <w:tcW w:w="1559" w:type="dxa"/>
          </w:tcPr>
          <w:p w14:paraId="430755F0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182.</w:t>
            </w:r>
            <w:r w:rsidRPr="00D82F3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B78AC69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87.</w:t>
            </w:r>
            <w:r w:rsidRPr="00D82F33">
              <w:rPr>
                <w:sz w:val="22"/>
                <w:szCs w:val="22"/>
              </w:rPr>
              <w:t>6</w:t>
            </w:r>
          </w:p>
        </w:tc>
      </w:tr>
      <w:tr w:rsidR="00FE4A20" w:rsidRPr="00D82F33" w14:paraId="2AE98271" w14:textId="77777777" w:rsidTr="00917186">
        <w:trPr>
          <w:trHeight w:val="422"/>
          <w:jc w:val="center"/>
        </w:trPr>
        <w:tc>
          <w:tcPr>
            <w:tcW w:w="997" w:type="dxa"/>
          </w:tcPr>
          <w:p w14:paraId="1A9F7993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35-2</w:t>
            </w:r>
          </w:p>
        </w:tc>
        <w:tc>
          <w:tcPr>
            <w:tcW w:w="1408" w:type="dxa"/>
          </w:tcPr>
          <w:p w14:paraId="7307AE87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224.2</w:t>
            </w:r>
          </w:p>
        </w:tc>
        <w:tc>
          <w:tcPr>
            <w:tcW w:w="1559" w:type="dxa"/>
          </w:tcPr>
          <w:p w14:paraId="08BF5EBE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205.9</w:t>
            </w:r>
          </w:p>
        </w:tc>
        <w:tc>
          <w:tcPr>
            <w:tcW w:w="993" w:type="dxa"/>
          </w:tcPr>
          <w:p w14:paraId="30A24F81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91.9</w:t>
            </w:r>
          </w:p>
        </w:tc>
        <w:tc>
          <w:tcPr>
            <w:tcW w:w="1417" w:type="dxa"/>
          </w:tcPr>
          <w:p w14:paraId="5DD0CF58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201.0</w:t>
            </w:r>
          </w:p>
        </w:tc>
        <w:tc>
          <w:tcPr>
            <w:tcW w:w="1559" w:type="dxa"/>
          </w:tcPr>
          <w:p w14:paraId="2EAF47C0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179.1</w:t>
            </w:r>
          </w:p>
        </w:tc>
        <w:tc>
          <w:tcPr>
            <w:tcW w:w="993" w:type="dxa"/>
          </w:tcPr>
          <w:p w14:paraId="15604FFE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89.1</w:t>
            </w:r>
          </w:p>
        </w:tc>
      </w:tr>
      <w:tr w:rsidR="00FE4A20" w:rsidRPr="00D82F33" w14:paraId="4BB8CBD7" w14:textId="77777777" w:rsidTr="00917186">
        <w:trPr>
          <w:trHeight w:val="422"/>
          <w:jc w:val="center"/>
        </w:trPr>
        <w:tc>
          <w:tcPr>
            <w:tcW w:w="997" w:type="dxa"/>
          </w:tcPr>
          <w:p w14:paraId="5B3DE13F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35-3</w:t>
            </w:r>
          </w:p>
        </w:tc>
        <w:tc>
          <w:tcPr>
            <w:tcW w:w="1408" w:type="dxa"/>
          </w:tcPr>
          <w:p w14:paraId="6FF71091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251.3</w:t>
            </w:r>
          </w:p>
        </w:tc>
        <w:tc>
          <w:tcPr>
            <w:tcW w:w="1559" w:type="dxa"/>
          </w:tcPr>
          <w:p w14:paraId="74436CFB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246.1</w:t>
            </w:r>
          </w:p>
        </w:tc>
        <w:tc>
          <w:tcPr>
            <w:tcW w:w="993" w:type="dxa"/>
          </w:tcPr>
          <w:p w14:paraId="59B8BF03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98.0</w:t>
            </w:r>
          </w:p>
        </w:tc>
        <w:tc>
          <w:tcPr>
            <w:tcW w:w="1417" w:type="dxa"/>
          </w:tcPr>
          <w:p w14:paraId="1F84AA3D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225.0</w:t>
            </w:r>
          </w:p>
        </w:tc>
        <w:tc>
          <w:tcPr>
            <w:tcW w:w="1559" w:type="dxa"/>
          </w:tcPr>
          <w:p w14:paraId="3F8398F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182.2</w:t>
            </w:r>
          </w:p>
        </w:tc>
        <w:tc>
          <w:tcPr>
            <w:tcW w:w="993" w:type="dxa"/>
          </w:tcPr>
          <w:p w14:paraId="368FF50D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81.0</w:t>
            </w:r>
          </w:p>
        </w:tc>
      </w:tr>
      <w:tr w:rsidR="00FE4A20" w:rsidRPr="00D82F33" w14:paraId="38109DE1" w14:textId="77777777" w:rsidTr="00917186">
        <w:trPr>
          <w:trHeight w:val="422"/>
          <w:jc w:val="center"/>
        </w:trPr>
        <w:tc>
          <w:tcPr>
            <w:tcW w:w="997" w:type="dxa"/>
          </w:tcPr>
          <w:p w14:paraId="0B70C1F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50-1</w:t>
            </w:r>
          </w:p>
        </w:tc>
        <w:tc>
          <w:tcPr>
            <w:tcW w:w="1408" w:type="dxa"/>
          </w:tcPr>
          <w:p w14:paraId="7FCDBF73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264.8</w:t>
            </w:r>
          </w:p>
        </w:tc>
        <w:tc>
          <w:tcPr>
            <w:tcW w:w="1559" w:type="dxa"/>
          </w:tcPr>
          <w:p w14:paraId="13368AC1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246.4</w:t>
            </w:r>
          </w:p>
        </w:tc>
        <w:tc>
          <w:tcPr>
            <w:tcW w:w="993" w:type="dxa"/>
          </w:tcPr>
          <w:p w14:paraId="2E75B7DA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9</w:t>
            </w:r>
            <w:r w:rsidRPr="00D82F33">
              <w:rPr>
                <w:sz w:val="22"/>
                <w:szCs w:val="22"/>
              </w:rPr>
              <w:t>3</w:t>
            </w:r>
            <w:r w:rsidRPr="00D82F33">
              <w:rPr>
                <w:sz w:val="22"/>
                <w:szCs w:val="22"/>
                <w:lang w:val="ru-RU"/>
              </w:rPr>
              <w:t>.8</w:t>
            </w:r>
          </w:p>
        </w:tc>
        <w:tc>
          <w:tcPr>
            <w:tcW w:w="1417" w:type="dxa"/>
          </w:tcPr>
          <w:p w14:paraId="751AE05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231.4</w:t>
            </w:r>
          </w:p>
        </w:tc>
        <w:tc>
          <w:tcPr>
            <w:tcW w:w="1559" w:type="dxa"/>
          </w:tcPr>
          <w:p w14:paraId="231D41A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22</w:t>
            </w:r>
            <w:r w:rsidRPr="00D82F33">
              <w:rPr>
                <w:sz w:val="22"/>
                <w:szCs w:val="22"/>
              </w:rPr>
              <w:t>1</w:t>
            </w:r>
            <w:r w:rsidRPr="00D82F33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993" w:type="dxa"/>
          </w:tcPr>
          <w:p w14:paraId="346C4144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95.6</w:t>
            </w:r>
          </w:p>
        </w:tc>
      </w:tr>
      <w:tr w:rsidR="00FE4A20" w:rsidRPr="00D82F33" w14:paraId="0D1DDB30" w14:textId="77777777" w:rsidTr="00917186">
        <w:trPr>
          <w:trHeight w:val="422"/>
          <w:jc w:val="center"/>
        </w:trPr>
        <w:tc>
          <w:tcPr>
            <w:tcW w:w="997" w:type="dxa"/>
          </w:tcPr>
          <w:p w14:paraId="708581D9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50-2</w:t>
            </w:r>
          </w:p>
        </w:tc>
        <w:tc>
          <w:tcPr>
            <w:tcW w:w="1408" w:type="dxa"/>
          </w:tcPr>
          <w:p w14:paraId="4CD35C1D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237.2</w:t>
            </w:r>
          </w:p>
        </w:tc>
        <w:tc>
          <w:tcPr>
            <w:tcW w:w="1559" w:type="dxa"/>
          </w:tcPr>
          <w:p w14:paraId="6381AF28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245.4</w:t>
            </w:r>
            <w:r w:rsidRPr="00D82F33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14:paraId="01297D9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~</w:t>
            </w:r>
            <w:r w:rsidRPr="00D82F3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2FC36DC2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201.1</w:t>
            </w:r>
          </w:p>
        </w:tc>
        <w:tc>
          <w:tcPr>
            <w:tcW w:w="1559" w:type="dxa"/>
          </w:tcPr>
          <w:p w14:paraId="775680E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205.93</w:t>
            </w:r>
          </w:p>
        </w:tc>
        <w:tc>
          <w:tcPr>
            <w:tcW w:w="993" w:type="dxa"/>
          </w:tcPr>
          <w:p w14:paraId="4C9BB93B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  <w:lang w:val="ru-RU"/>
              </w:rPr>
              <w:t>~</w:t>
            </w:r>
            <w:r w:rsidRPr="00D82F33">
              <w:rPr>
                <w:sz w:val="22"/>
                <w:szCs w:val="22"/>
              </w:rPr>
              <w:t>100</w:t>
            </w:r>
          </w:p>
        </w:tc>
      </w:tr>
      <w:tr w:rsidR="00FE4A20" w:rsidRPr="00D82F33" w14:paraId="5AC4CC5E" w14:textId="77777777" w:rsidTr="00917186">
        <w:trPr>
          <w:trHeight w:val="58"/>
          <w:jc w:val="center"/>
        </w:trPr>
        <w:tc>
          <w:tcPr>
            <w:tcW w:w="997" w:type="dxa"/>
          </w:tcPr>
          <w:p w14:paraId="4D6E703E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LR</w:t>
            </w:r>
            <w:r w:rsidRPr="00D82F33">
              <w:rPr>
                <w:sz w:val="22"/>
                <w:szCs w:val="22"/>
                <w:lang w:val="ru-RU"/>
              </w:rPr>
              <w:t>50-3</w:t>
            </w:r>
          </w:p>
        </w:tc>
        <w:tc>
          <w:tcPr>
            <w:tcW w:w="1408" w:type="dxa"/>
          </w:tcPr>
          <w:p w14:paraId="20D4D005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220.6</w:t>
            </w:r>
          </w:p>
        </w:tc>
        <w:tc>
          <w:tcPr>
            <w:tcW w:w="1559" w:type="dxa"/>
          </w:tcPr>
          <w:p w14:paraId="1F3D0CF6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</w:rPr>
              <w:t>224.7**</w:t>
            </w:r>
          </w:p>
        </w:tc>
        <w:tc>
          <w:tcPr>
            <w:tcW w:w="993" w:type="dxa"/>
          </w:tcPr>
          <w:p w14:paraId="0426F53D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</w:rPr>
            </w:pPr>
            <w:r w:rsidRPr="00D82F33">
              <w:rPr>
                <w:sz w:val="22"/>
                <w:szCs w:val="22"/>
                <w:lang w:val="ru-RU"/>
              </w:rPr>
              <w:t>~</w:t>
            </w:r>
            <w:r w:rsidRPr="00D82F3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659ADDA7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186.2</w:t>
            </w:r>
          </w:p>
        </w:tc>
        <w:tc>
          <w:tcPr>
            <w:tcW w:w="1559" w:type="dxa"/>
          </w:tcPr>
          <w:p w14:paraId="01364E3A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176.36</w:t>
            </w:r>
          </w:p>
        </w:tc>
        <w:tc>
          <w:tcPr>
            <w:tcW w:w="993" w:type="dxa"/>
          </w:tcPr>
          <w:p w14:paraId="1B63B288" w14:textId="77777777" w:rsidR="00FE4A20" w:rsidRPr="00D82F33" w:rsidRDefault="00FE4A20" w:rsidP="00B6296F">
            <w:pPr>
              <w:pStyle w:val="BodyL"/>
              <w:ind w:firstLine="0"/>
              <w:rPr>
                <w:sz w:val="22"/>
                <w:szCs w:val="22"/>
                <w:lang w:val="ru-RU"/>
              </w:rPr>
            </w:pPr>
            <w:r w:rsidRPr="00D82F33">
              <w:rPr>
                <w:sz w:val="22"/>
                <w:szCs w:val="22"/>
              </w:rPr>
              <w:t>93.63</w:t>
            </w:r>
          </w:p>
        </w:tc>
      </w:tr>
    </w:tbl>
    <w:p w14:paraId="4AE129FF" w14:textId="77777777" w:rsidR="00FE4A20" w:rsidRPr="00D82F33" w:rsidRDefault="00FE4A20" w:rsidP="00917186">
      <w:pPr>
        <w:pStyle w:val="BodyL"/>
        <w:spacing w:line="240" w:lineRule="auto"/>
        <w:rPr>
          <w:sz w:val="22"/>
          <w:szCs w:val="22"/>
        </w:rPr>
      </w:pPr>
      <w:r w:rsidRPr="00D82F33">
        <w:rPr>
          <w:sz w:val="22"/>
          <w:szCs w:val="22"/>
        </w:rPr>
        <w:t>* значение удельной разрядной емкости после 14 циклов</w:t>
      </w:r>
    </w:p>
    <w:p w14:paraId="18231A93" w14:textId="5EE68C24" w:rsidR="00FE4A20" w:rsidRPr="00917186" w:rsidRDefault="00FE4A20" w:rsidP="00917186">
      <w:pPr>
        <w:pStyle w:val="BodyL"/>
        <w:spacing w:line="240" w:lineRule="auto"/>
        <w:rPr>
          <w:sz w:val="22"/>
          <w:szCs w:val="22"/>
        </w:rPr>
      </w:pPr>
      <w:r w:rsidRPr="00D82F33">
        <w:rPr>
          <w:sz w:val="22"/>
          <w:szCs w:val="22"/>
        </w:rPr>
        <w:t>** значение удельной разрядной емкости после 34 циклов</w:t>
      </w:r>
    </w:p>
    <w:sectPr w:rsidR="00FE4A20" w:rsidRPr="009171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94999">
    <w:abstractNumId w:val="0"/>
  </w:num>
  <w:num w:numId="2" w16cid:durableId="7014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8788F"/>
    <w:rsid w:val="00101A1C"/>
    <w:rsid w:val="00103657"/>
    <w:rsid w:val="00106375"/>
    <w:rsid w:val="00116478"/>
    <w:rsid w:val="00122D43"/>
    <w:rsid w:val="00130241"/>
    <w:rsid w:val="001A5014"/>
    <w:rsid w:val="001C6578"/>
    <w:rsid w:val="001E61C2"/>
    <w:rsid w:val="001F0493"/>
    <w:rsid w:val="00224FC4"/>
    <w:rsid w:val="002264EE"/>
    <w:rsid w:val="0023307C"/>
    <w:rsid w:val="0031361E"/>
    <w:rsid w:val="00364105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06643"/>
    <w:rsid w:val="007213E1"/>
    <w:rsid w:val="00775389"/>
    <w:rsid w:val="00797838"/>
    <w:rsid w:val="007C36D8"/>
    <w:rsid w:val="007F2744"/>
    <w:rsid w:val="008931BE"/>
    <w:rsid w:val="008C67E3"/>
    <w:rsid w:val="00917186"/>
    <w:rsid w:val="00921D45"/>
    <w:rsid w:val="009A66DB"/>
    <w:rsid w:val="009B2F80"/>
    <w:rsid w:val="009B3300"/>
    <w:rsid w:val="009F3380"/>
    <w:rsid w:val="00A02163"/>
    <w:rsid w:val="00A314FE"/>
    <w:rsid w:val="00B340EC"/>
    <w:rsid w:val="00B5126E"/>
    <w:rsid w:val="00B60809"/>
    <w:rsid w:val="00BF36F8"/>
    <w:rsid w:val="00BF4622"/>
    <w:rsid w:val="00CD00B1"/>
    <w:rsid w:val="00CD7EC1"/>
    <w:rsid w:val="00D22306"/>
    <w:rsid w:val="00D42542"/>
    <w:rsid w:val="00D8121C"/>
    <w:rsid w:val="00D82F33"/>
    <w:rsid w:val="00DA161D"/>
    <w:rsid w:val="00E17FEE"/>
    <w:rsid w:val="00E22189"/>
    <w:rsid w:val="00E74069"/>
    <w:rsid w:val="00E86994"/>
    <w:rsid w:val="00EB1F49"/>
    <w:rsid w:val="00F53260"/>
    <w:rsid w:val="00F865B3"/>
    <w:rsid w:val="00FB1509"/>
    <w:rsid w:val="00FE4A2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BodyL">
    <w:name w:val="BodyL."/>
    <w:basedOn w:val="a"/>
    <w:link w:val="BodyL0"/>
    <w:qFormat/>
    <w:rsid w:val="00FE4A20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character" w:customStyle="1" w:styleId="BodyL0">
    <w:name w:val="BodyL. Знак"/>
    <w:link w:val="BodyL"/>
    <w:rsid w:val="00FE4A20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BodyLNoTab">
    <w:name w:val="BodyL.NoTab"/>
    <w:basedOn w:val="BodyL"/>
    <w:next w:val="BodyL"/>
    <w:qFormat/>
    <w:rsid w:val="00FE4A20"/>
  </w:style>
  <w:style w:type="table" w:styleId="aa">
    <w:name w:val="Table Grid"/>
    <w:basedOn w:val="a1"/>
    <w:uiPriority w:val="59"/>
    <w:rsid w:val="00FE4A20"/>
    <w:rPr>
      <w:rFonts w:cs="Arial"/>
      <w:sz w:val="22"/>
      <w:szCs w:val="22"/>
      <w:lang w:val="en-US" w:eastAsia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D7EC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24F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4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E3D42-AC9D-4005-8E07-18531F4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Дарья Карлова</cp:lastModifiedBy>
  <cp:revision>11</cp:revision>
  <dcterms:created xsi:type="dcterms:W3CDTF">2024-02-15T15:10:00Z</dcterms:created>
  <dcterms:modified xsi:type="dcterms:W3CDTF">2024-03-04T07:03:00Z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