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5E8209E" w:rsidR="00130241" w:rsidRDefault="00877A84">
      <w:pPr>
        <w:pBdr>
          <w:top w:val="nil"/>
          <w:left w:val="nil"/>
          <w:bottom w:val="nil"/>
          <w:right w:val="nil"/>
          <w:between w:val="nil"/>
        </w:pBdr>
        <w:shd w:val="clear" w:color="auto" w:fill="FFFFFF"/>
        <w:jc w:val="center"/>
        <w:rPr>
          <w:color w:val="000000"/>
        </w:rPr>
      </w:pPr>
      <w:proofErr w:type="spellStart"/>
      <w:r w:rsidRPr="00877A84">
        <w:rPr>
          <w:b/>
          <w:color w:val="000000"/>
        </w:rPr>
        <w:t>Нанокомпозиты</w:t>
      </w:r>
      <w:proofErr w:type="spellEnd"/>
      <w:r w:rsidRPr="00877A84">
        <w:rPr>
          <w:b/>
          <w:color w:val="000000"/>
        </w:rPr>
        <w:t xml:space="preserve"> на основе SnO</w:t>
      </w:r>
      <w:r w:rsidRPr="00877A84">
        <w:rPr>
          <w:b/>
          <w:color w:val="000000"/>
          <w:vertAlign w:val="subscript"/>
        </w:rPr>
        <w:t>2</w:t>
      </w:r>
      <w:r w:rsidRPr="00877A84">
        <w:rPr>
          <w:b/>
          <w:color w:val="000000"/>
        </w:rPr>
        <w:t xml:space="preserve">, модифицированного </w:t>
      </w:r>
      <w:proofErr w:type="spellStart"/>
      <w:r w:rsidRPr="00877A84">
        <w:rPr>
          <w:b/>
          <w:color w:val="000000"/>
        </w:rPr>
        <w:t>La</w:t>
      </w:r>
      <w:proofErr w:type="spellEnd"/>
      <w:r w:rsidRPr="00877A84">
        <w:rPr>
          <w:b/>
          <w:color w:val="000000"/>
        </w:rPr>
        <w:t>(III), для детектирования паров короткоцепочечных жирных кислот</w:t>
      </w:r>
    </w:p>
    <w:p w14:paraId="00000002" w14:textId="0B98F9FB" w:rsidR="00130241" w:rsidRDefault="00877A84">
      <w:pPr>
        <w:pBdr>
          <w:top w:val="nil"/>
          <w:left w:val="nil"/>
          <w:bottom w:val="nil"/>
          <w:right w:val="nil"/>
          <w:between w:val="nil"/>
        </w:pBdr>
        <w:shd w:val="clear" w:color="auto" w:fill="FFFFFF"/>
        <w:jc w:val="center"/>
        <w:rPr>
          <w:color w:val="000000"/>
        </w:rPr>
      </w:pPr>
      <w:r>
        <w:rPr>
          <w:b/>
          <w:i/>
          <w:color w:val="000000"/>
        </w:rPr>
        <w:t>Сагитова А.С.</w:t>
      </w:r>
      <w:r w:rsidRPr="00877A84">
        <w:rPr>
          <w:b/>
          <w:i/>
          <w:color w:val="000000"/>
          <w:vertAlign w:val="superscript"/>
        </w:rPr>
        <w:t xml:space="preserve"> </w:t>
      </w:r>
      <w:r>
        <w:rPr>
          <w:b/>
          <w:i/>
          <w:color w:val="000000"/>
          <w:vertAlign w:val="superscript"/>
        </w:rPr>
        <w:t>1</w:t>
      </w:r>
      <w:r>
        <w:rPr>
          <w:b/>
          <w:i/>
          <w:color w:val="000000"/>
        </w:rPr>
        <w:t xml:space="preserve">, </w:t>
      </w:r>
      <w:proofErr w:type="spellStart"/>
      <w:r>
        <w:rPr>
          <w:b/>
          <w:i/>
          <w:color w:val="000000"/>
        </w:rPr>
        <w:t>Кривецкий</w:t>
      </w:r>
      <w:proofErr w:type="spellEnd"/>
      <w:r>
        <w:rPr>
          <w:b/>
          <w:i/>
          <w:color w:val="000000"/>
        </w:rPr>
        <w:t xml:space="preserve"> В.В.</w:t>
      </w:r>
      <w:r w:rsidRPr="00877A84">
        <w:rPr>
          <w:b/>
          <w:i/>
          <w:color w:val="000000"/>
          <w:vertAlign w:val="superscript"/>
        </w:rPr>
        <w:t xml:space="preserve"> </w:t>
      </w:r>
      <w:r>
        <w:rPr>
          <w:b/>
          <w:i/>
          <w:color w:val="000000"/>
          <w:vertAlign w:val="superscript"/>
        </w:rPr>
        <w:t>1</w:t>
      </w:r>
      <w:r>
        <w:rPr>
          <w:b/>
          <w:i/>
          <w:color w:val="000000"/>
        </w:rPr>
        <w:t>, Румянцева М.Н.</w:t>
      </w:r>
      <w:r w:rsidRPr="00877A84">
        <w:rPr>
          <w:b/>
          <w:i/>
          <w:color w:val="000000"/>
          <w:vertAlign w:val="superscript"/>
        </w:rPr>
        <w:t xml:space="preserve"> </w:t>
      </w:r>
      <w:r>
        <w:rPr>
          <w:b/>
          <w:i/>
          <w:color w:val="000000"/>
          <w:vertAlign w:val="superscript"/>
        </w:rPr>
        <w:t xml:space="preserve">1 </w:t>
      </w:r>
    </w:p>
    <w:p w14:paraId="00000003" w14:textId="3507B34B" w:rsidR="00130241" w:rsidRDefault="00877A84">
      <w:pPr>
        <w:pBdr>
          <w:top w:val="nil"/>
          <w:left w:val="nil"/>
          <w:bottom w:val="nil"/>
          <w:right w:val="nil"/>
          <w:between w:val="nil"/>
        </w:pBdr>
        <w:shd w:val="clear" w:color="auto" w:fill="FFFFFF"/>
        <w:jc w:val="center"/>
        <w:rPr>
          <w:color w:val="000000"/>
        </w:rPr>
      </w:pPr>
      <w:r>
        <w:rPr>
          <w:i/>
          <w:color w:val="000000"/>
        </w:rPr>
        <w:t xml:space="preserve">Студент, 6 курс </w:t>
      </w:r>
      <w:proofErr w:type="spellStart"/>
      <w:r>
        <w:rPr>
          <w:i/>
          <w:color w:val="000000"/>
        </w:rPr>
        <w:t>специалитета</w:t>
      </w:r>
      <w:proofErr w:type="spellEnd"/>
    </w:p>
    <w:p w14:paraId="00000004" w14:textId="1FBD43D9" w:rsidR="00130241" w:rsidRPr="00921D45" w:rsidRDefault="00EB1F49">
      <w:pPr>
        <w:pBdr>
          <w:top w:val="nil"/>
          <w:left w:val="nil"/>
          <w:bottom w:val="nil"/>
          <w:right w:val="nil"/>
          <w:between w:val="nil"/>
        </w:pBdr>
        <w:shd w:val="clear" w:color="auto" w:fill="FFFFFF"/>
        <w:jc w:val="center"/>
        <w:rPr>
          <w:color w:val="000000"/>
        </w:rPr>
      </w:pPr>
      <w:r>
        <w:rPr>
          <w:i/>
          <w:color w:val="000000"/>
          <w:vertAlign w:val="superscript"/>
        </w:rPr>
        <w:t>1</w:t>
      </w:r>
      <w:r>
        <w:rPr>
          <w:i/>
          <w:color w:val="000000"/>
        </w:rPr>
        <w:t>Московский государственный университет имени М.В.</w:t>
      </w:r>
      <w:r w:rsidR="00921D45">
        <w:rPr>
          <w:i/>
          <w:color w:val="000000"/>
        </w:rPr>
        <w:t xml:space="preserve"> </w:t>
      </w:r>
      <w:r>
        <w:rPr>
          <w:i/>
          <w:color w:val="000000"/>
        </w:rPr>
        <w:t>Ломоносова, </w:t>
      </w:r>
    </w:p>
    <w:p w14:paraId="00000005" w14:textId="1A249D70" w:rsidR="00130241" w:rsidRPr="00391C38" w:rsidRDefault="00391C38">
      <w:pPr>
        <w:pBdr>
          <w:top w:val="nil"/>
          <w:left w:val="nil"/>
          <w:bottom w:val="nil"/>
          <w:right w:val="nil"/>
          <w:between w:val="nil"/>
        </w:pBdr>
        <w:shd w:val="clear" w:color="auto" w:fill="FFFFFF"/>
        <w:jc w:val="center"/>
        <w:rPr>
          <w:color w:val="000000"/>
        </w:rPr>
      </w:pPr>
      <w:r>
        <w:rPr>
          <w:i/>
          <w:color w:val="000000"/>
        </w:rPr>
        <w:t>химический</w:t>
      </w:r>
      <w:r w:rsidR="00EB1F49">
        <w:rPr>
          <w:i/>
          <w:color w:val="000000"/>
        </w:rPr>
        <w:t xml:space="preserve"> факультет, Москва, Россия</w:t>
      </w:r>
    </w:p>
    <w:p w14:paraId="1ADA4293" w14:textId="1C55F53B" w:rsidR="00CD00B1" w:rsidRPr="00210A06" w:rsidRDefault="00EB1F49" w:rsidP="00877A84">
      <w:pPr>
        <w:pBdr>
          <w:top w:val="nil"/>
          <w:left w:val="nil"/>
          <w:bottom w:val="nil"/>
          <w:right w:val="nil"/>
          <w:between w:val="nil"/>
        </w:pBdr>
        <w:shd w:val="clear" w:color="auto" w:fill="FFFFFF"/>
        <w:jc w:val="center"/>
        <w:rPr>
          <w:color w:val="000000"/>
        </w:rPr>
      </w:pPr>
      <w:r w:rsidRPr="00877A84">
        <w:rPr>
          <w:i/>
          <w:color w:val="000000"/>
          <w:lang w:val="en-US"/>
        </w:rPr>
        <w:t>E</w:t>
      </w:r>
      <w:r w:rsidR="003B76D6" w:rsidRPr="00210A06">
        <w:rPr>
          <w:i/>
          <w:color w:val="000000"/>
        </w:rPr>
        <w:t>-</w:t>
      </w:r>
      <w:r w:rsidRPr="00877A84">
        <w:rPr>
          <w:i/>
          <w:color w:val="000000"/>
          <w:lang w:val="en-US"/>
        </w:rPr>
        <w:t>mail</w:t>
      </w:r>
      <w:r w:rsidRPr="00210A06">
        <w:rPr>
          <w:i/>
          <w:color w:val="000000"/>
        </w:rPr>
        <w:t xml:space="preserve">: </w:t>
      </w:r>
      <w:r w:rsidR="00877A84" w:rsidRPr="00877A84">
        <w:rPr>
          <w:i/>
          <w:color w:val="000000"/>
          <w:u w:val="single"/>
          <w:lang w:val="en-US"/>
        </w:rPr>
        <w:t>cagitova</w:t>
      </w:r>
      <w:r w:rsidR="00877A84" w:rsidRPr="00210A06">
        <w:rPr>
          <w:i/>
          <w:color w:val="000000"/>
          <w:u w:val="single"/>
        </w:rPr>
        <w:t>.</w:t>
      </w:r>
      <w:r w:rsidR="00877A84" w:rsidRPr="00877A84">
        <w:rPr>
          <w:i/>
          <w:color w:val="000000"/>
          <w:u w:val="single"/>
          <w:lang w:val="en-US"/>
        </w:rPr>
        <w:t>a</w:t>
      </w:r>
      <w:r w:rsidR="00877A84" w:rsidRPr="00210A06">
        <w:rPr>
          <w:i/>
          <w:color w:val="000000"/>
          <w:u w:val="single"/>
        </w:rPr>
        <w:t>@</w:t>
      </w:r>
      <w:r w:rsidR="00877A84">
        <w:rPr>
          <w:i/>
          <w:color w:val="000000"/>
          <w:u w:val="single"/>
          <w:lang w:val="en-US"/>
        </w:rPr>
        <w:t>gmail</w:t>
      </w:r>
      <w:r w:rsidR="00877A84" w:rsidRPr="00210A06">
        <w:rPr>
          <w:i/>
          <w:color w:val="000000"/>
          <w:u w:val="single"/>
        </w:rPr>
        <w:t>.</w:t>
      </w:r>
      <w:r w:rsidR="00877A84">
        <w:rPr>
          <w:i/>
          <w:color w:val="000000"/>
          <w:u w:val="single"/>
          <w:lang w:val="en-US"/>
        </w:rPr>
        <w:t>com</w:t>
      </w:r>
    </w:p>
    <w:p w14:paraId="1F4FC0A3" w14:textId="6865F3F2" w:rsidR="00B3775B" w:rsidRPr="00797838" w:rsidRDefault="00872A03" w:rsidP="0097446B">
      <w:pPr>
        <w:pBdr>
          <w:top w:val="nil"/>
          <w:left w:val="nil"/>
          <w:bottom w:val="nil"/>
          <w:right w:val="nil"/>
          <w:between w:val="nil"/>
        </w:pBdr>
        <w:shd w:val="clear" w:color="auto" w:fill="FFFFFF"/>
        <w:ind w:firstLine="397"/>
        <w:jc w:val="both"/>
        <w:rPr>
          <w:color w:val="000000"/>
        </w:rPr>
      </w:pPr>
      <w:r>
        <w:rPr>
          <w:color w:val="000000"/>
        </w:rPr>
        <w:t xml:space="preserve">Определение концентрации </w:t>
      </w:r>
      <w:r w:rsidRPr="00872A03">
        <w:rPr>
          <w:color w:val="000000"/>
        </w:rPr>
        <w:t>летучих органических соединений в выдыхаемом воздухе – перспективный и эффективный инструмент для мо</w:t>
      </w:r>
      <w:r w:rsidR="00321EB1">
        <w:rPr>
          <w:color w:val="000000"/>
        </w:rPr>
        <w:t xml:space="preserve">ниторинга состояния здоровья </w:t>
      </w:r>
      <w:r w:rsidR="00321EB1">
        <w:rPr>
          <w:color w:val="000000"/>
        </w:rPr>
        <w:fldChar w:fldCharType="begin" w:fldLock="1"/>
      </w:r>
      <w:r w:rsidR="00321EB1">
        <w:rPr>
          <w:color w:val="000000"/>
        </w:rPr>
        <w:instrText>ADDIN CSL_CITATION {"citationItems":[{"id":"ITEM-1","itemData":{"DOI":"10.1155/2019/7247802","ISSN":"20908873","abstract":"Purpose. The purpose of this review was to identify the best solution for rapid and noninvasive diagnosis and long-term monitoring of patients affected by inflammatory gastrointestinal diseases, colon and gastric cancer, obesity in correlation to diet, and breast milk to evaluate exposure to VOCs in women and infants. Methods. This review included 20 previously published eligible studies. VOC analysis has allowed us to highlight differences in lifestyles, intestinal microbiota, and metabolism. New innovative methods have been described that allow the detection and quantification of a broad spectrum of metabolites present in exhaled breath even at very low levels, some of which have been shown to be indicators of pathological conditions. Results. Five studies were analyzed that involved VOC analysis in relation to type of diet. All of them showed that the type of diet can have an impact on metabolites excreted and therefore can be a useful tool in the nutritional studies related to metabolism and health and disease status. Two studies concerned VOC analysis in inflammatory bowel diseases, and the results showed that VOCs can distinguish active disease from remission; VOC profile is clearly different in patients. In particular, C15H30 1-pentadecene, 3-methyl-1-butanal, octane, acetic acid, alpha-pinene, and m-cymene are elevated in active ulcerative colitis. Four studies examined VOCs in gastric and colorectal tumors showing a change in metabolic biomarkers of cancer patients compared to the control group. Finally, the study of VOCs in breast milk has improved the understanding of the potential health risks of exposure of children to chemical pollutants. Conclusions. VOC analysis allowed to highlight differences in behavior, lifestyle, and metabolism of individuals. Analytical methods are continuously developed to allow for better detection and quantification of metabolites, thus enabling the detection of a broader spectrum of pathophysiology and disease biomarkers.","author":[{"dropping-particle":"","family":"Rondanelli","given":"Mariangela","non-dropping-particle":"","parse-names":false,"suffix":""},{"dropping-particle":"","family":"Perdoni","given":"Federica","non-dropping-particle":"","parse-names":false,"suffix":""},{"dropping-particle":"","family":"Infantino","given":"Vittoria","non-dropping-particle":"","parse-names":false,"suffix":""},{"dropping-particle":"","family":"Faliva","given":"Milena Anna","non-dropping-particle":"","parse-names":false,"suffix":""},{"dropping-particle":"","family":"Peroni","given":"Gabriella","non-dropping-particle":"","parse-names":false,"suffix":""},{"dropping-particle":"","family":"Iannello","given":"Giancarlo","non-dropping-particle":"","parse-names":false,"suffix":""},{"dropping-particle":"","family":"Nichetti","given":"Mara","non-dropping-particle":"","parse-names":false,"suffix":""},{"dropping-particle":"","family":"Alalwan","given":"Tariq A.","non-dropping-particle":"","parse-names":false,"suffix":""},{"dropping-particle":"","family":"Perna","given":"Simone","non-dropping-particle":"","parse-names":false,"suffix":""},{"dropping-particle":"","family":"Cocuzza","given":"Clementina","non-dropping-particle":"","parse-names":false,"suffix":""}],"container-title":"Journal of Analytical Methods in Chemistry","id":"ITEM-1","issued":{"date-parts":[["2019"]]},"title":"Volatile organic compounds as biomarkers of gastrointestinal diseases and nutritional status","type":"article-journal","volume":"2019"},"uris":["http://www.mendeley.com/documents/?uuid=e919ccfb-cd5d-4f00-a7f8-a196a011e440"]}],"mendeley":{"formattedCitation":"[1]","plainTextFormattedCitation":"[1]","previouslyFormattedCitation":"[1]"},"properties":{"noteIndex":0},"schema":"https://github.com/citation-style-language/schema/raw/master/csl-citation.json"}</w:instrText>
      </w:r>
      <w:r w:rsidR="00321EB1">
        <w:rPr>
          <w:color w:val="000000"/>
        </w:rPr>
        <w:fldChar w:fldCharType="separate"/>
      </w:r>
      <w:r w:rsidR="00321EB1" w:rsidRPr="00321EB1">
        <w:rPr>
          <w:noProof/>
          <w:color w:val="000000"/>
        </w:rPr>
        <w:t>[1]</w:t>
      </w:r>
      <w:r w:rsidR="00321EB1">
        <w:rPr>
          <w:color w:val="000000"/>
        </w:rPr>
        <w:fldChar w:fldCharType="end"/>
      </w:r>
      <w:r w:rsidRPr="00872A03">
        <w:rPr>
          <w:color w:val="000000"/>
        </w:rPr>
        <w:t>.</w:t>
      </w:r>
      <w:r>
        <w:rPr>
          <w:color w:val="000000"/>
        </w:rPr>
        <w:t xml:space="preserve"> Для этого могут быть использованы п</w:t>
      </w:r>
      <w:r w:rsidR="00B3775B" w:rsidRPr="00B3775B">
        <w:rPr>
          <w:color w:val="000000"/>
        </w:rPr>
        <w:t>олупроводниковые</w:t>
      </w:r>
      <w:r w:rsidR="001470E9" w:rsidRPr="001470E9">
        <w:rPr>
          <w:color w:val="000000"/>
        </w:rPr>
        <w:t xml:space="preserve"> </w:t>
      </w:r>
      <w:proofErr w:type="spellStart"/>
      <w:r w:rsidR="001470E9">
        <w:rPr>
          <w:color w:val="000000"/>
        </w:rPr>
        <w:t>металлооксидные</w:t>
      </w:r>
      <w:proofErr w:type="spellEnd"/>
      <w:r w:rsidR="00B3775B" w:rsidRPr="00B3775B">
        <w:rPr>
          <w:color w:val="000000"/>
        </w:rPr>
        <w:t xml:space="preserve"> газовые сенсоры</w:t>
      </w:r>
      <w:r>
        <w:rPr>
          <w:color w:val="000000"/>
        </w:rPr>
        <w:t>, которые</w:t>
      </w:r>
      <w:r w:rsidR="00B3775B" w:rsidRPr="00B3775B">
        <w:rPr>
          <w:color w:val="000000"/>
        </w:rPr>
        <w:t xml:space="preserve"> </w:t>
      </w:r>
      <w:r w:rsidR="00123EA3">
        <w:rPr>
          <w:color w:val="000000"/>
        </w:rPr>
        <w:t>отличаются</w:t>
      </w:r>
      <w:r w:rsidR="00B3775B" w:rsidRPr="00B3775B">
        <w:rPr>
          <w:color w:val="000000"/>
        </w:rPr>
        <w:t xml:space="preserve"> высокой чувствительностью, </w:t>
      </w:r>
      <w:r w:rsidR="00123EA3">
        <w:rPr>
          <w:color w:val="000000"/>
        </w:rPr>
        <w:t>миниатюрностью</w:t>
      </w:r>
      <w:r w:rsidR="00B3775B" w:rsidRPr="00B3775B">
        <w:rPr>
          <w:color w:val="000000"/>
        </w:rPr>
        <w:t>, низким энергопотреблением</w:t>
      </w:r>
      <w:r w:rsidR="00123EA3">
        <w:rPr>
          <w:color w:val="000000"/>
        </w:rPr>
        <w:t xml:space="preserve"> и</w:t>
      </w:r>
      <w:r w:rsidR="00B3775B" w:rsidRPr="00B3775B">
        <w:rPr>
          <w:color w:val="000000"/>
        </w:rPr>
        <w:t xml:space="preserve"> низкой стоимостью. Перспективным подходом</w:t>
      </w:r>
      <w:r w:rsidR="0097446B">
        <w:rPr>
          <w:color w:val="000000"/>
        </w:rPr>
        <w:t xml:space="preserve"> для</w:t>
      </w:r>
      <w:r w:rsidR="00B3775B" w:rsidRPr="00B3775B">
        <w:rPr>
          <w:color w:val="000000"/>
        </w:rPr>
        <w:t xml:space="preserve"> повышения</w:t>
      </w:r>
      <w:r w:rsidR="001470E9">
        <w:rPr>
          <w:color w:val="000000"/>
        </w:rPr>
        <w:t xml:space="preserve"> их</w:t>
      </w:r>
      <w:r w:rsidR="00B3775B" w:rsidRPr="00B3775B">
        <w:rPr>
          <w:color w:val="000000"/>
        </w:rPr>
        <w:t xml:space="preserve"> чувствительности </w:t>
      </w:r>
      <w:r w:rsidR="001470E9">
        <w:rPr>
          <w:color w:val="000000"/>
        </w:rPr>
        <w:t>в случае</w:t>
      </w:r>
      <w:r w:rsidR="00413CFD">
        <w:rPr>
          <w:color w:val="000000"/>
        </w:rPr>
        <w:t xml:space="preserve"> детектирования газов кислой природы</w:t>
      </w:r>
      <w:r w:rsidR="00B3775B" w:rsidRPr="00B3775B">
        <w:rPr>
          <w:color w:val="000000"/>
        </w:rPr>
        <w:t xml:space="preserve"> является снижение ки</w:t>
      </w:r>
      <w:r w:rsidR="00413CFD">
        <w:rPr>
          <w:color w:val="000000"/>
        </w:rPr>
        <w:t>слотности</w:t>
      </w:r>
      <w:r w:rsidR="00B3775B" w:rsidRPr="00B3775B">
        <w:rPr>
          <w:color w:val="000000"/>
        </w:rPr>
        <w:t xml:space="preserve"> поверх</w:t>
      </w:r>
      <w:r w:rsidR="00321EB1">
        <w:rPr>
          <w:color w:val="000000"/>
        </w:rPr>
        <w:t>ности материала за счет</w:t>
      </w:r>
      <w:r w:rsidR="00B3775B" w:rsidRPr="00B3775B">
        <w:rPr>
          <w:color w:val="000000"/>
        </w:rPr>
        <w:t xml:space="preserve"> введения катионов с более </w:t>
      </w:r>
      <w:r w:rsidR="005B7B97">
        <w:rPr>
          <w:color w:val="000000"/>
        </w:rPr>
        <w:t xml:space="preserve">высокой </w:t>
      </w:r>
      <w:proofErr w:type="spellStart"/>
      <w:r w:rsidR="005B7B97">
        <w:rPr>
          <w:color w:val="000000"/>
        </w:rPr>
        <w:t>основностью</w:t>
      </w:r>
      <w:proofErr w:type="spellEnd"/>
      <w:r w:rsidR="005B7B97">
        <w:rPr>
          <w:color w:val="000000"/>
        </w:rPr>
        <w:t xml:space="preserve"> </w:t>
      </w:r>
      <w:r w:rsidR="00B3775B" w:rsidRPr="00B3775B">
        <w:rPr>
          <w:color w:val="000000"/>
        </w:rPr>
        <w:t>по сравнению с катио</w:t>
      </w:r>
      <w:r w:rsidR="00321EB1">
        <w:rPr>
          <w:color w:val="000000"/>
        </w:rPr>
        <w:t xml:space="preserve">ном полупроводниковой матрицы </w:t>
      </w:r>
      <w:r w:rsidR="00321EB1">
        <w:rPr>
          <w:color w:val="000000"/>
        </w:rPr>
        <w:fldChar w:fldCharType="begin" w:fldLock="1"/>
      </w:r>
      <w:r w:rsidR="00321EB1">
        <w:rPr>
          <w:color w:val="000000"/>
        </w:rPr>
        <w:instrText>ADDIN CSL_CITATION {"citationItems":[{"id":"ITEM-1","itemData":{"DOI":"10.3390/s21072554","ISSN":"1424-8220","PMID":"33917353","abstract":"Development of sensor materials based on metal oxide semiconductors (MOS) for selective gas sensors is challenging for the tasks of air quality monitoring, early fire detection, gas leaks search, breath analysis, etc. An extensive range of sensor materials has been elaborated, but no consistent guidelines can be found for choosing a material composition targeting the selective detection of specific gases. Fundamental relations between material composition and sensing behavior have not been unambiguously established. In the present review, we summarize our recent works on the research of active sites and gas sensing behavior of n-type semiconductor metal oxides with different composition (simple oxides ZnO, In2O3, SnO2, WO3; mixed-metal oxides BaSnO3, Bi2WO6), and functionalized by catalytic noble metals (Ru, Pd, Au). The materials were variously characterized. The composition, metal-oxygen bonding, microstructure, active sites, sensing behavior, and interaction routes with gases (CO, NH3, SO2, VOC, NO2) were examined. The key role of active sites in determining the selectivity of sensor materials is substantiated. It was shown that the metal-oxygen bond energy of the MOS correlates with the surface acidity and the concentration of surface oxygen species and oxygen vacancies, which control the adsorption and redox conversion of analyte gas molecules. The effects of cations in mixed-metal oxides on the sensitivity and selectivity of BaSnO3 and Bi2WO6 to SO2 and VOCs, respectively, are rationalized. The determining role of catalytic noble metals in oxidation of reducing analyte gases and the impact of acid sites of MOS to gas adsorption are demonstrated.","author":[{"dropping-particle":"","family":"Marikutsa","given":"Artem","non-dropping-particle":"","parse-names":false,"suffix":""},{"dropping-particle":"","family":"Rumyantseva","given":"Marina","non-dropping-particle":"","parse-names":false,"suffix":""},{"dropping-particle":"","family":"Konstantinova","given":"Elizaveta A.","non-dropping-particle":"","parse-names":false,"suffix":""},{"dropping-particle":"","family":"Gaskov","given":"Alexander","non-dropping-particle":"","parse-names":false,"suffix":""}],"container-title":"Sensors","id":"ITEM-1","issue":"7","issued":{"date-parts":[["2021","4","6"]]},"title":"The Key Role of Active Sites in the Development of Selective Metal Oxide Sensor Materials","type":"article-journal","volume":"21"},"uris":["http://www.mendeley.com/documents/?uuid=83de8c18-3efb-4ccc-a1cc-7c3c5959ee55"]}],"mendeley":{"formattedCitation":"[2]","plainTextFormattedCitation":"[2]","previouslyFormattedCitation":"[2]"},"properties":{"noteIndex":0},"schema":"https://github.com/citation-style-language/schema/raw/master/csl-citation.json"}</w:instrText>
      </w:r>
      <w:r w:rsidR="00321EB1">
        <w:rPr>
          <w:color w:val="000000"/>
        </w:rPr>
        <w:fldChar w:fldCharType="separate"/>
      </w:r>
      <w:r w:rsidR="00321EB1" w:rsidRPr="00321EB1">
        <w:rPr>
          <w:noProof/>
          <w:color w:val="000000"/>
        </w:rPr>
        <w:t>[2]</w:t>
      </w:r>
      <w:r w:rsidR="00321EB1">
        <w:rPr>
          <w:color w:val="000000"/>
        </w:rPr>
        <w:fldChar w:fldCharType="end"/>
      </w:r>
      <w:r w:rsidR="00B3775B" w:rsidRPr="00B3775B">
        <w:rPr>
          <w:color w:val="000000"/>
        </w:rPr>
        <w:t xml:space="preserve">. </w:t>
      </w:r>
      <w:r w:rsidR="00433854" w:rsidRPr="00433854">
        <w:rPr>
          <w:color w:val="000000"/>
        </w:rPr>
        <w:t xml:space="preserve">В данной работе демонстрируется выраженная сенсорная чувствительность </w:t>
      </w:r>
      <w:proofErr w:type="spellStart"/>
      <w:r w:rsidR="00433854" w:rsidRPr="00433854">
        <w:rPr>
          <w:color w:val="000000"/>
        </w:rPr>
        <w:t>нанокомпозитов</w:t>
      </w:r>
      <w:proofErr w:type="spellEnd"/>
      <w:r w:rsidR="00433854" w:rsidRPr="00433854">
        <w:rPr>
          <w:color w:val="000000"/>
        </w:rPr>
        <w:t xml:space="preserve"> </w:t>
      </w:r>
      <w:r w:rsidR="00433854">
        <w:rPr>
          <w:color w:val="000000"/>
        </w:rPr>
        <w:t>на основе SnO</w:t>
      </w:r>
      <w:r w:rsidR="00433854" w:rsidRPr="00433854">
        <w:rPr>
          <w:color w:val="000000"/>
          <w:vertAlign w:val="subscript"/>
        </w:rPr>
        <w:t>2</w:t>
      </w:r>
      <w:r w:rsidR="00433854">
        <w:rPr>
          <w:color w:val="000000"/>
        </w:rPr>
        <w:t xml:space="preserve">, модифицированного </w:t>
      </w:r>
      <w:proofErr w:type="spellStart"/>
      <w:r w:rsidR="00433854" w:rsidRPr="00433854">
        <w:rPr>
          <w:color w:val="000000"/>
        </w:rPr>
        <w:t>La</w:t>
      </w:r>
      <w:proofErr w:type="spellEnd"/>
      <w:r w:rsidR="00433854" w:rsidRPr="00433854">
        <w:rPr>
          <w:color w:val="000000"/>
        </w:rPr>
        <w:t>(</w:t>
      </w:r>
      <w:r w:rsidR="00433854">
        <w:rPr>
          <w:color w:val="000000"/>
          <w:lang w:val="en-US"/>
        </w:rPr>
        <w:t>III</w:t>
      </w:r>
      <w:r w:rsidR="00433854" w:rsidRPr="00433854">
        <w:rPr>
          <w:color w:val="000000"/>
        </w:rPr>
        <w:t>)</w:t>
      </w:r>
      <w:r w:rsidR="00433854">
        <w:rPr>
          <w:color w:val="000000"/>
        </w:rPr>
        <w:t xml:space="preserve">, </w:t>
      </w:r>
      <w:r w:rsidR="00433854" w:rsidRPr="00433854">
        <w:rPr>
          <w:color w:val="000000"/>
        </w:rPr>
        <w:t xml:space="preserve">по отношению к короткоцепочечным жирным кислотам (КЖК): муравьиной, уксусной, </w:t>
      </w:r>
      <w:proofErr w:type="spellStart"/>
      <w:r w:rsidR="00433854" w:rsidRPr="00433854">
        <w:rPr>
          <w:color w:val="000000"/>
        </w:rPr>
        <w:t>пропионовой</w:t>
      </w:r>
      <w:proofErr w:type="spellEnd"/>
      <w:r w:rsidR="00433854" w:rsidRPr="00433854">
        <w:rPr>
          <w:color w:val="000000"/>
        </w:rPr>
        <w:t xml:space="preserve"> и масляной.</w:t>
      </w:r>
    </w:p>
    <w:p w14:paraId="68555CE6" w14:textId="728C4A88" w:rsidR="009F3380" w:rsidRDefault="00433854" w:rsidP="009F3380">
      <w:pPr>
        <w:pBdr>
          <w:top w:val="nil"/>
          <w:left w:val="nil"/>
          <w:bottom w:val="nil"/>
          <w:right w:val="nil"/>
          <w:between w:val="nil"/>
        </w:pBdr>
        <w:shd w:val="clear" w:color="auto" w:fill="FFFFFF"/>
        <w:ind w:firstLine="397"/>
        <w:jc w:val="both"/>
        <w:rPr>
          <w:color w:val="000000"/>
        </w:rPr>
      </w:pPr>
      <w:r>
        <w:rPr>
          <w:color w:val="000000"/>
        </w:rPr>
        <w:t xml:space="preserve">Материалы были </w:t>
      </w:r>
      <w:r w:rsidR="00B146FD">
        <w:rPr>
          <w:color w:val="000000"/>
        </w:rPr>
        <w:t>синтезированы</w:t>
      </w:r>
      <w:r w:rsidR="00B3775B" w:rsidRPr="00B3775B">
        <w:rPr>
          <w:color w:val="000000"/>
        </w:rPr>
        <w:t xml:space="preserve"> </w:t>
      </w:r>
      <w:r>
        <w:rPr>
          <w:color w:val="000000"/>
        </w:rPr>
        <w:t xml:space="preserve">методом распылительного </w:t>
      </w:r>
      <w:r w:rsidR="00B3775B" w:rsidRPr="00B3775B">
        <w:rPr>
          <w:color w:val="000000"/>
        </w:rPr>
        <w:t>пиролиз</w:t>
      </w:r>
      <w:r>
        <w:rPr>
          <w:color w:val="000000"/>
        </w:rPr>
        <w:t xml:space="preserve">а в пламени и </w:t>
      </w:r>
      <w:r w:rsidR="00B3775B" w:rsidRPr="00B3775B">
        <w:rPr>
          <w:color w:val="000000"/>
        </w:rPr>
        <w:t xml:space="preserve">охарактеризованы методами рентгеновской дифракции, </w:t>
      </w:r>
      <w:r w:rsidRPr="00FA1C05">
        <w:rPr>
          <w:szCs w:val="28"/>
        </w:rPr>
        <w:t>низкотемпературной адсорбции азота с расчетами по модели БЭТ</w:t>
      </w:r>
      <w:r>
        <w:rPr>
          <w:szCs w:val="28"/>
        </w:rPr>
        <w:t xml:space="preserve">, </w:t>
      </w:r>
      <w:r w:rsidR="00B3775B" w:rsidRPr="00B3775B">
        <w:rPr>
          <w:color w:val="000000"/>
        </w:rPr>
        <w:t>просвечивающ</w:t>
      </w:r>
      <w:r>
        <w:rPr>
          <w:color w:val="000000"/>
        </w:rPr>
        <w:t>ей электронной микроскопии</w:t>
      </w:r>
      <w:r w:rsidR="00B3775B" w:rsidRPr="00B3775B">
        <w:rPr>
          <w:color w:val="000000"/>
        </w:rPr>
        <w:t xml:space="preserve"> с </w:t>
      </w:r>
      <w:r>
        <w:rPr>
          <w:color w:val="000000"/>
        </w:rPr>
        <w:t>EDX-картированием</w:t>
      </w:r>
      <w:r w:rsidR="00B3775B" w:rsidRPr="00B3775B">
        <w:rPr>
          <w:color w:val="000000"/>
        </w:rPr>
        <w:t>. Иденти</w:t>
      </w:r>
      <w:r w:rsidR="008321C5">
        <w:rPr>
          <w:color w:val="000000"/>
        </w:rPr>
        <w:t xml:space="preserve">фикацию поверхностной сегрегационной </w:t>
      </w:r>
      <w:r w:rsidR="008321C5">
        <w:rPr>
          <w:color w:val="000000"/>
          <w:lang w:val="en-US"/>
        </w:rPr>
        <w:t>La</w:t>
      </w:r>
      <w:r w:rsidR="008321C5" w:rsidRPr="008321C5">
        <w:rPr>
          <w:color w:val="000000"/>
        </w:rPr>
        <w:t>-</w:t>
      </w:r>
      <w:r w:rsidR="008321C5">
        <w:rPr>
          <w:color w:val="000000"/>
        </w:rPr>
        <w:t>содержащей</w:t>
      </w:r>
      <w:r w:rsidR="00B3775B" w:rsidRPr="00B3775B">
        <w:rPr>
          <w:color w:val="000000"/>
        </w:rPr>
        <w:t xml:space="preserve"> фазы </w:t>
      </w:r>
      <w:r w:rsidR="008321C5">
        <w:rPr>
          <w:color w:val="000000"/>
        </w:rPr>
        <w:t xml:space="preserve">проводили </w:t>
      </w:r>
      <w:r w:rsidR="00B3775B" w:rsidRPr="00B3775B">
        <w:rPr>
          <w:color w:val="000000"/>
        </w:rPr>
        <w:t xml:space="preserve">методом </w:t>
      </w:r>
      <w:proofErr w:type="spellStart"/>
      <w:r w:rsidR="00B3775B" w:rsidRPr="00B3775B">
        <w:rPr>
          <w:color w:val="000000"/>
        </w:rPr>
        <w:t>рамановской</w:t>
      </w:r>
      <w:proofErr w:type="spellEnd"/>
      <w:r w:rsidR="00B3775B" w:rsidRPr="00B3775B">
        <w:rPr>
          <w:color w:val="000000"/>
        </w:rPr>
        <w:t xml:space="preserve"> спектроскопии. Кислотные свойства </w:t>
      </w:r>
      <w:r w:rsidR="00B146FD">
        <w:rPr>
          <w:color w:val="000000"/>
        </w:rPr>
        <w:t>материалов</w:t>
      </w:r>
      <w:r w:rsidR="00B3775B" w:rsidRPr="00B3775B">
        <w:rPr>
          <w:color w:val="000000"/>
        </w:rPr>
        <w:t xml:space="preserve"> </w:t>
      </w:r>
      <w:r w:rsidR="008321C5">
        <w:rPr>
          <w:color w:val="000000"/>
        </w:rPr>
        <w:t>исследовали</w:t>
      </w:r>
      <w:r w:rsidR="00B3775B" w:rsidRPr="00B3775B">
        <w:rPr>
          <w:color w:val="000000"/>
        </w:rPr>
        <w:t xml:space="preserve"> методо</w:t>
      </w:r>
      <w:r w:rsidR="008321C5">
        <w:rPr>
          <w:color w:val="000000"/>
        </w:rPr>
        <w:t>м температурно-программируемой</w:t>
      </w:r>
      <w:r w:rsidR="00B3775B" w:rsidRPr="00B3775B">
        <w:rPr>
          <w:color w:val="000000"/>
        </w:rPr>
        <w:t xml:space="preserve"> десорбции аммиака (ТПД-NH</w:t>
      </w:r>
      <w:r w:rsidR="00B3775B" w:rsidRPr="008321C5">
        <w:rPr>
          <w:color w:val="000000"/>
          <w:vertAlign w:val="subscript"/>
        </w:rPr>
        <w:t>3</w:t>
      </w:r>
      <w:r w:rsidR="008321C5">
        <w:rPr>
          <w:color w:val="000000"/>
        </w:rPr>
        <w:t xml:space="preserve">) с идентификацией продуктов десорбции с </w:t>
      </w:r>
      <w:r w:rsidR="00B146FD">
        <w:rPr>
          <w:color w:val="000000"/>
        </w:rPr>
        <w:t>использованием</w:t>
      </w:r>
      <w:r w:rsidR="008321C5">
        <w:rPr>
          <w:color w:val="000000"/>
        </w:rPr>
        <w:t xml:space="preserve"> масс-спектрометра.</w:t>
      </w:r>
    </w:p>
    <w:p w14:paraId="3E4F3F33" w14:textId="5249F0DB" w:rsidR="009B2F80" w:rsidRDefault="008321C5" w:rsidP="009B2F80">
      <w:pPr>
        <w:ind w:firstLine="397"/>
        <w:jc w:val="center"/>
      </w:pPr>
      <w:r w:rsidRPr="008321C5">
        <w:rPr>
          <w:noProof/>
        </w:rPr>
        <w:drawing>
          <wp:inline distT="0" distB="0" distL="0" distR="0" wp14:anchorId="79A9D194" wp14:editId="03A2359C">
            <wp:extent cx="3535546" cy="2520000"/>
            <wp:effectExtent l="19050" t="19050" r="27305" b="1397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5546" cy="2520000"/>
                    </a:xfrm>
                    <a:prstGeom prst="rect">
                      <a:avLst/>
                    </a:prstGeom>
                    <a:ln w="12700">
                      <a:solidFill>
                        <a:schemeClr val="bg1"/>
                      </a:solidFill>
                    </a:ln>
                  </pic:spPr>
                </pic:pic>
              </a:graphicData>
            </a:graphic>
          </wp:inline>
        </w:drawing>
      </w:r>
    </w:p>
    <w:p w14:paraId="1E9B13B1" w14:textId="7E891C43" w:rsidR="009B2F80" w:rsidRPr="007B3A44" w:rsidRDefault="009B2F80" w:rsidP="005E5BE9">
      <w:pPr>
        <w:jc w:val="center"/>
      </w:pPr>
      <w:r w:rsidRPr="007B3A44">
        <w:t xml:space="preserve">Рис. 1. </w:t>
      </w:r>
      <w:r w:rsidR="007B3A44" w:rsidRPr="007B3A44">
        <w:t>Температурная з</w:t>
      </w:r>
      <w:r w:rsidR="008321C5" w:rsidRPr="007B3A44">
        <w:t>ависимость сенсорного сигнала</w:t>
      </w:r>
      <w:r w:rsidR="007B3A44" w:rsidRPr="007B3A44">
        <w:t xml:space="preserve"> по отношению к КЖК</w:t>
      </w:r>
    </w:p>
    <w:p w14:paraId="111AE668" w14:textId="18939C45" w:rsidR="008321C5" w:rsidRPr="008321C5" w:rsidRDefault="0040372E" w:rsidP="008321C5">
      <w:pPr>
        <w:pBdr>
          <w:top w:val="nil"/>
          <w:left w:val="nil"/>
          <w:bottom w:val="nil"/>
          <w:right w:val="nil"/>
          <w:between w:val="nil"/>
        </w:pBdr>
        <w:shd w:val="clear" w:color="auto" w:fill="FFFFFF"/>
        <w:ind w:firstLine="397"/>
        <w:jc w:val="both"/>
        <w:rPr>
          <w:color w:val="000000"/>
        </w:rPr>
      </w:pPr>
      <w:r>
        <w:rPr>
          <w:color w:val="000000"/>
        </w:rPr>
        <w:t>С</w:t>
      </w:r>
      <w:r w:rsidR="008321C5" w:rsidRPr="00B3775B">
        <w:rPr>
          <w:color w:val="000000"/>
        </w:rPr>
        <w:t xml:space="preserve">нижение </w:t>
      </w:r>
      <w:proofErr w:type="spellStart"/>
      <w:r w:rsidR="008321C5" w:rsidRPr="00B3775B">
        <w:rPr>
          <w:color w:val="000000"/>
        </w:rPr>
        <w:t>льюисовской</w:t>
      </w:r>
      <w:proofErr w:type="spellEnd"/>
      <w:r w:rsidR="008321C5" w:rsidRPr="00B3775B">
        <w:rPr>
          <w:color w:val="000000"/>
        </w:rPr>
        <w:t xml:space="preserve"> кислотности пове</w:t>
      </w:r>
      <w:bookmarkStart w:id="0" w:name="_GoBack"/>
      <w:bookmarkEnd w:id="0"/>
      <w:r w:rsidR="008321C5" w:rsidRPr="00B3775B">
        <w:rPr>
          <w:color w:val="000000"/>
        </w:rPr>
        <w:t>рхности SnO</w:t>
      </w:r>
      <w:r w:rsidR="008321C5" w:rsidRPr="0040372E">
        <w:rPr>
          <w:color w:val="000000"/>
          <w:vertAlign w:val="subscript"/>
        </w:rPr>
        <w:t>2</w:t>
      </w:r>
      <w:r w:rsidR="008321C5" w:rsidRPr="00B3775B">
        <w:rPr>
          <w:color w:val="000000"/>
        </w:rPr>
        <w:t xml:space="preserve"> приводит к специфическому увеличению </w:t>
      </w:r>
      <w:r>
        <w:rPr>
          <w:color w:val="000000"/>
        </w:rPr>
        <w:t xml:space="preserve">сенсорного </w:t>
      </w:r>
      <w:r w:rsidR="008321C5" w:rsidRPr="00B3775B">
        <w:rPr>
          <w:color w:val="000000"/>
        </w:rPr>
        <w:t xml:space="preserve">сенсора </w:t>
      </w:r>
      <w:r w:rsidR="00AD289B">
        <w:rPr>
          <w:color w:val="000000"/>
        </w:rPr>
        <w:t>по отношению к газам</w:t>
      </w:r>
      <w:r w:rsidR="000B2CC9">
        <w:rPr>
          <w:color w:val="000000"/>
        </w:rPr>
        <w:t xml:space="preserve"> с кислотными свойствами, таким</w:t>
      </w:r>
      <w:r w:rsidR="008321C5" w:rsidRPr="00B3775B">
        <w:rPr>
          <w:color w:val="000000"/>
        </w:rPr>
        <w:t xml:space="preserve"> как </w:t>
      </w:r>
      <w:r>
        <w:rPr>
          <w:color w:val="000000"/>
        </w:rPr>
        <w:t>КЖК</w:t>
      </w:r>
      <w:r w:rsidR="008321C5" w:rsidRPr="00B3775B">
        <w:rPr>
          <w:color w:val="000000"/>
        </w:rPr>
        <w:t xml:space="preserve"> и H</w:t>
      </w:r>
      <w:r w:rsidR="008321C5" w:rsidRPr="0040372E">
        <w:rPr>
          <w:color w:val="000000"/>
          <w:vertAlign w:val="subscript"/>
        </w:rPr>
        <w:t>2</w:t>
      </w:r>
      <w:r w:rsidR="008321C5" w:rsidRPr="00B3775B">
        <w:rPr>
          <w:color w:val="000000"/>
        </w:rPr>
        <w:t xml:space="preserve">S. Полученные материалы способны </w:t>
      </w:r>
      <w:r w:rsidR="00AD289B">
        <w:rPr>
          <w:color w:val="000000"/>
        </w:rPr>
        <w:t>детектировать</w:t>
      </w:r>
      <w:r w:rsidR="008321C5" w:rsidRPr="00B3775B">
        <w:rPr>
          <w:color w:val="000000"/>
        </w:rPr>
        <w:t xml:space="preserve"> КЖК в концентрациях ниже </w:t>
      </w:r>
      <w:r>
        <w:rPr>
          <w:color w:val="000000"/>
        </w:rPr>
        <w:t xml:space="preserve">1 </w:t>
      </w:r>
      <w:proofErr w:type="spellStart"/>
      <w:r w:rsidR="008321C5" w:rsidRPr="00B3775B">
        <w:rPr>
          <w:color w:val="000000"/>
        </w:rPr>
        <w:t>ppm</w:t>
      </w:r>
      <w:proofErr w:type="spellEnd"/>
      <w:r w:rsidR="008321C5" w:rsidRPr="00B3775B">
        <w:rPr>
          <w:color w:val="000000"/>
        </w:rPr>
        <w:t xml:space="preserve">, в том числе в условиях </w:t>
      </w:r>
      <w:r w:rsidR="00622981">
        <w:rPr>
          <w:color w:val="000000"/>
        </w:rPr>
        <w:t>высокой влажности</w:t>
      </w:r>
      <w:r>
        <w:rPr>
          <w:color w:val="000000"/>
        </w:rPr>
        <w:t xml:space="preserve"> (</w:t>
      </w:r>
      <w:r>
        <w:rPr>
          <w:color w:val="000000"/>
          <w:lang w:val="en-US"/>
        </w:rPr>
        <w:t>RH</w:t>
      </w:r>
      <w:r w:rsidRPr="0040372E">
        <w:rPr>
          <w:color w:val="000000"/>
        </w:rPr>
        <w:t xml:space="preserve"> </w:t>
      </w:r>
      <w:r w:rsidR="008321C5" w:rsidRPr="00B3775B">
        <w:rPr>
          <w:color w:val="000000"/>
        </w:rPr>
        <w:t>= 80%).</w:t>
      </w:r>
    </w:p>
    <w:p w14:paraId="022FC08C" w14:textId="0C68EEC1" w:rsidR="00A02163" w:rsidRPr="00A02163" w:rsidRDefault="00373EEC" w:rsidP="00A02163">
      <w:pPr>
        <w:pBdr>
          <w:top w:val="nil"/>
          <w:left w:val="nil"/>
          <w:bottom w:val="nil"/>
          <w:right w:val="nil"/>
          <w:between w:val="nil"/>
        </w:pBdr>
        <w:shd w:val="clear" w:color="auto" w:fill="FFFFFF"/>
        <w:ind w:firstLine="397"/>
        <w:jc w:val="both"/>
        <w:rPr>
          <w:i/>
          <w:iCs/>
          <w:color w:val="000000"/>
        </w:rPr>
      </w:pPr>
      <w:r w:rsidRPr="00373EEC">
        <w:rPr>
          <w:i/>
          <w:iCs/>
          <w:color w:val="000000"/>
        </w:rPr>
        <w:t>Работа поддержана грантом РНФ 22-13-00111.</w:t>
      </w:r>
    </w:p>
    <w:p w14:paraId="0000000E" w14:textId="77777777" w:rsidR="00130241" w:rsidRDefault="00EB1F49">
      <w:pPr>
        <w:pBdr>
          <w:top w:val="nil"/>
          <w:left w:val="nil"/>
          <w:bottom w:val="nil"/>
          <w:right w:val="nil"/>
          <w:between w:val="nil"/>
        </w:pBdr>
        <w:shd w:val="clear" w:color="auto" w:fill="FFFFFF"/>
        <w:jc w:val="center"/>
        <w:rPr>
          <w:color w:val="000000"/>
        </w:rPr>
      </w:pPr>
      <w:r>
        <w:rPr>
          <w:b/>
          <w:color w:val="000000"/>
        </w:rPr>
        <w:t>Литература</w:t>
      </w:r>
    </w:p>
    <w:p w14:paraId="0FCE7FAF" w14:textId="201FAFB4" w:rsidR="0015686A" w:rsidRPr="00210A06" w:rsidRDefault="00321EB1" w:rsidP="00210A06">
      <w:pPr>
        <w:widowControl w:val="0"/>
        <w:autoSpaceDE w:val="0"/>
        <w:autoSpaceDN w:val="0"/>
        <w:adjustRightInd w:val="0"/>
        <w:ind w:left="284" w:hanging="284"/>
        <w:jc w:val="both"/>
        <w:rPr>
          <w:noProof/>
          <w:lang w:val="en-US"/>
        </w:rPr>
      </w:pPr>
      <w:r>
        <w:rPr>
          <w:color w:val="000000"/>
        </w:rPr>
        <w:fldChar w:fldCharType="begin" w:fldLock="1"/>
      </w:r>
      <w:r w:rsidRPr="00210A06">
        <w:rPr>
          <w:color w:val="000000"/>
          <w:lang w:val="en-US"/>
        </w:rPr>
        <w:instrText xml:space="preserve">ADDIN Mendeley Bibliography CSL_BIBLIOGRAPHY </w:instrText>
      </w:r>
      <w:r>
        <w:rPr>
          <w:color w:val="000000"/>
        </w:rPr>
        <w:fldChar w:fldCharType="separate"/>
      </w:r>
      <w:r w:rsidR="0015686A" w:rsidRPr="00210A06">
        <w:rPr>
          <w:noProof/>
          <w:lang w:val="en-US"/>
        </w:rPr>
        <w:t>1.</w:t>
      </w:r>
      <w:r w:rsidR="0015686A" w:rsidRPr="00210A06">
        <w:rPr>
          <w:noProof/>
          <w:lang w:val="en-US"/>
        </w:rPr>
        <w:tab/>
        <w:t>Rondanelli M. et al. Volatile organic compounds as biomarkers of gastrointestinal diseases and nutritional status // J. Anal. Methods Chem. 2019. Vol. 2019.</w:t>
      </w:r>
    </w:p>
    <w:p w14:paraId="3486C755" w14:textId="056920F4" w:rsidR="00116478" w:rsidRPr="00116478" w:rsidRDefault="0015686A" w:rsidP="00210A06">
      <w:pPr>
        <w:widowControl w:val="0"/>
        <w:autoSpaceDE w:val="0"/>
        <w:autoSpaceDN w:val="0"/>
        <w:adjustRightInd w:val="0"/>
        <w:ind w:left="284" w:hanging="284"/>
        <w:jc w:val="both"/>
        <w:rPr>
          <w:color w:val="000000"/>
          <w:lang w:val="en-US"/>
        </w:rPr>
      </w:pPr>
      <w:r w:rsidRPr="00210A06">
        <w:rPr>
          <w:noProof/>
          <w:lang w:val="en-US"/>
        </w:rPr>
        <w:t>2.</w:t>
      </w:r>
      <w:r w:rsidRPr="00210A06">
        <w:rPr>
          <w:noProof/>
          <w:lang w:val="en-US"/>
        </w:rPr>
        <w:tab/>
        <w:t xml:space="preserve">Marikutsa A. et al. The Key Role of Active Sites in the Development of Selective Metal Oxide Sensor Materials // Sensors. </w:t>
      </w:r>
      <w:r w:rsidRPr="0015686A">
        <w:rPr>
          <w:noProof/>
        </w:rPr>
        <w:t>2021. Vol. 21, № 7.</w:t>
      </w:r>
      <w:r w:rsidR="00321EB1">
        <w:rPr>
          <w:color w:val="000000"/>
        </w:rPr>
        <w:fldChar w:fldCharType="end"/>
      </w:r>
    </w:p>
    <w:sectPr w:rsidR="00116478" w:rsidRPr="0011647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41"/>
    <w:rsid w:val="00063966"/>
    <w:rsid w:val="00086081"/>
    <w:rsid w:val="000B2CC9"/>
    <w:rsid w:val="00101A1C"/>
    <w:rsid w:val="00103657"/>
    <w:rsid w:val="00106375"/>
    <w:rsid w:val="00116478"/>
    <w:rsid w:val="00123EA3"/>
    <w:rsid w:val="00130241"/>
    <w:rsid w:val="001470E9"/>
    <w:rsid w:val="0015686A"/>
    <w:rsid w:val="001E61C2"/>
    <w:rsid w:val="001F0493"/>
    <w:rsid w:val="00210A06"/>
    <w:rsid w:val="002264EE"/>
    <w:rsid w:val="0023307C"/>
    <w:rsid w:val="0031361E"/>
    <w:rsid w:val="00321EB1"/>
    <w:rsid w:val="00373EEC"/>
    <w:rsid w:val="00391C38"/>
    <w:rsid w:val="003B76D6"/>
    <w:rsid w:val="0040372E"/>
    <w:rsid w:val="00413CFD"/>
    <w:rsid w:val="00433854"/>
    <w:rsid w:val="00495CA0"/>
    <w:rsid w:val="004A26A3"/>
    <w:rsid w:val="004F0EDF"/>
    <w:rsid w:val="00522BF1"/>
    <w:rsid w:val="00590166"/>
    <w:rsid w:val="005B7B97"/>
    <w:rsid w:val="005D022B"/>
    <w:rsid w:val="005E5BE9"/>
    <w:rsid w:val="00622981"/>
    <w:rsid w:val="0069427D"/>
    <w:rsid w:val="006F7A19"/>
    <w:rsid w:val="007213E1"/>
    <w:rsid w:val="00775389"/>
    <w:rsid w:val="00797838"/>
    <w:rsid w:val="007B3A44"/>
    <w:rsid w:val="007C36D8"/>
    <w:rsid w:val="007F2744"/>
    <w:rsid w:val="008321C5"/>
    <w:rsid w:val="00872A03"/>
    <w:rsid w:val="00877A84"/>
    <w:rsid w:val="008931BE"/>
    <w:rsid w:val="008C67E3"/>
    <w:rsid w:val="00921D45"/>
    <w:rsid w:val="0097446B"/>
    <w:rsid w:val="009A66DB"/>
    <w:rsid w:val="009B2F80"/>
    <w:rsid w:val="009B3300"/>
    <w:rsid w:val="009F3380"/>
    <w:rsid w:val="00A02163"/>
    <w:rsid w:val="00A314FE"/>
    <w:rsid w:val="00AD289B"/>
    <w:rsid w:val="00B146FD"/>
    <w:rsid w:val="00B3775B"/>
    <w:rsid w:val="00BF36F8"/>
    <w:rsid w:val="00BF4622"/>
    <w:rsid w:val="00CD00B1"/>
    <w:rsid w:val="00D22306"/>
    <w:rsid w:val="00D42542"/>
    <w:rsid w:val="00D8121C"/>
    <w:rsid w:val="00E22189"/>
    <w:rsid w:val="00E74069"/>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A1FE-1F85-4F2D-B92C-FF4B8029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1390</Words>
  <Characters>7927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Алина Сагитова</cp:lastModifiedBy>
  <cp:revision>23</cp:revision>
  <dcterms:created xsi:type="dcterms:W3CDTF">2022-11-07T09:18:00Z</dcterms:created>
  <dcterms:modified xsi:type="dcterms:W3CDTF">2024-02-16T16:14:00Z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07794c73-48f2-39ae-8a9f-855bffd7dab1</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http://www.zotero.org/styles/applied-surface-science</vt:lpwstr>
  </property>
  <property fmtid="{D5CDD505-2E9C-101B-9397-08002B2CF9AE}" pid="8" name="Mendeley Recent Style Name 1_1">
    <vt:lpwstr>Applied Surface Science</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http://www.zotero.org/styles/international-journal-of-molecular-sciences</vt:lpwstr>
  </property>
  <property fmtid="{D5CDD505-2E9C-101B-9397-08002B2CF9AE}" pid="16" name="Mendeley Recent Style Name 5_1">
    <vt:lpwstr>International Journal of Molecular Sciences</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