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C2CF5" w14:textId="77777777" w:rsidR="006E22D0" w:rsidRDefault="00000000">
      <w:pPr>
        <w:shd w:val="clear" w:color="auto" w:fill="FFFFFF"/>
        <w:jc w:val="center"/>
        <w:rPr>
          <w:b/>
        </w:rPr>
      </w:pPr>
      <w:r>
        <w:rPr>
          <w:b/>
        </w:rPr>
        <w:t xml:space="preserve">Электрохимическое исследование смешанного фосфата натрия и ниобия-хрома со структурой </w:t>
      </w:r>
      <w:r>
        <w:rPr>
          <w:b/>
          <w:lang w:val="en-US"/>
        </w:rPr>
        <w:t>NASICON</w:t>
      </w:r>
      <w:r>
        <w:rPr>
          <w:b/>
        </w:rPr>
        <w:t xml:space="preserve"> в качестве анодного материала для натрий-ионных аккумуляторов</w:t>
      </w:r>
    </w:p>
    <w:p w14:paraId="3855ACB0" w14:textId="77777777" w:rsidR="006E22D0" w:rsidRDefault="00000000">
      <w:pP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Зайцева В.В.</w:t>
      </w:r>
    </w:p>
    <w:p w14:paraId="49CEB52D" w14:textId="77777777" w:rsidR="006E22D0" w:rsidRDefault="00000000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6 курс специалитета </w:t>
      </w:r>
    </w:p>
    <w:p w14:paraId="1A096601" w14:textId="77777777" w:rsidR="006E22D0" w:rsidRDefault="0000000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759AE1FE" w14:textId="77777777" w:rsidR="006E22D0" w:rsidRDefault="0000000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51DCBEDD" w14:textId="77777777" w:rsidR="006E22D0" w:rsidRDefault="0000000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E-mail:</w:t>
      </w:r>
      <w:r w:rsidRPr="00FC04A5">
        <w:rPr>
          <w:i/>
          <w:iCs/>
          <w:color w:val="000000"/>
        </w:rPr>
        <w:t xml:space="preserve"> </w:t>
      </w:r>
      <w:proofErr w:type="spellStart"/>
      <w:r w:rsidRPr="00FC04A5">
        <w:rPr>
          <w:i/>
          <w:iCs/>
          <w:u w:val="single"/>
          <w:lang w:val="en-US"/>
        </w:rPr>
        <w:t>vall</w:t>
      </w:r>
      <w:proofErr w:type="spellEnd"/>
      <w:r w:rsidRPr="00FC04A5">
        <w:rPr>
          <w:i/>
          <w:iCs/>
          <w:u w:val="single"/>
        </w:rPr>
        <w:t>.</w:t>
      </w:r>
      <w:r w:rsidRPr="00FC04A5">
        <w:rPr>
          <w:i/>
          <w:iCs/>
          <w:u w:val="single"/>
          <w:lang w:val="en-US"/>
        </w:rPr>
        <w:t>eq</w:t>
      </w:r>
      <w:r w:rsidRPr="00FC04A5">
        <w:rPr>
          <w:i/>
          <w:iCs/>
          <w:u w:val="single"/>
        </w:rPr>
        <w:t>428@</w:t>
      </w:r>
      <w:proofErr w:type="spellStart"/>
      <w:r w:rsidRPr="00FC04A5">
        <w:rPr>
          <w:i/>
          <w:iCs/>
          <w:u w:val="single"/>
          <w:lang w:val="en-US"/>
        </w:rPr>
        <w:t>gmail</w:t>
      </w:r>
      <w:proofErr w:type="spellEnd"/>
      <w:r w:rsidRPr="00FC04A5">
        <w:rPr>
          <w:i/>
          <w:iCs/>
          <w:u w:val="single"/>
        </w:rPr>
        <w:t>.</w:t>
      </w:r>
      <w:r w:rsidRPr="00FC04A5">
        <w:rPr>
          <w:i/>
          <w:iCs/>
          <w:u w:val="single"/>
          <w:lang w:val="en-US"/>
        </w:rPr>
        <w:t>com</w:t>
      </w:r>
      <w:r w:rsidRPr="00FC04A5">
        <w:rPr>
          <w:i/>
          <w:iCs/>
          <w:color w:val="000000"/>
        </w:rPr>
        <w:t xml:space="preserve"> </w:t>
      </w:r>
    </w:p>
    <w:p w14:paraId="1C930C37" w14:textId="77777777" w:rsidR="006E22D0" w:rsidRDefault="00000000" w:rsidP="00FC04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FC04A5">
        <w:rPr>
          <w:rFonts w:eastAsia="Times New Roman"/>
          <w:color w:val="000000"/>
        </w:rPr>
        <w:t>Рост</w:t>
      </w:r>
      <w:r>
        <w:t xml:space="preserve"> объемов производства устройств запасания и хранения энергии в настоящее время уже не может быть обеспечен только за счет использования литий-ионных аккумуляторов ввиду ограниченности доступных источников лития. В связи с этим натрий-ионные аккумуляторы являются перспективной альтернативой литий-ионным благодаря низкой стоимости натрия и его распространённости на Земле [1]. В работе предложен новый анодный материал на основе </w:t>
      </w:r>
      <w:bookmarkStart w:id="0" w:name="_Hlk159027466"/>
      <w:r>
        <w:t>смешанного фосфата натрия и ниобия-хрома</w:t>
      </w:r>
      <w:bookmarkEnd w:id="0"/>
      <w:r>
        <w:t xml:space="preserve"> со структурой NASICON, который при </w:t>
      </w:r>
      <w:proofErr w:type="spellStart"/>
      <w:r>
        <w:t>циклировании</w:t>
      </w:r>
      <w:proofErr w:type="spellEnd"/>
      <w:r>
        <w:t xml:space="preserve"> в натриевой ячейке демонстрирует способность к обратимой интеркаляции трех ионов натрия на формульную единицу благодаря активации редокс-пар Nb</w:t>
      </w:r>
      <w:r>
        <w:rPr>
          <w:vertAlign w:val="superscript"/>
        </w:rPr>
        <w:t>+5</w:t>
      </w:r>
      <w:r>
        <w:t>/</w:t>
      </w:r>
      <w:r>
        <w:rPr>
          <w:lang w:val="en-US"/>
        </w:rPr>
        <w:t>Nb</w:t>
      </w:r>
      <w:r>
        <w:rPr>
          <w:vertAlign w:val="superscript"/>
        </w:rPr>
        <w:t>4+</w:t>
      </w:r>
      <w:r>
        <w:t>/Nb</w:t>
      </w:r>
      <w:r>
        <w:rPr>
          <w:vertAlign w:val="superscript"/>
        </w:rPr>
        <w:t>+3</w:t>
      </w:r>
      <w:r>
        <w:t xml:space="preserve"> и Cr</w:t>
      </w:r>
      <w:r>
        <w:rPr>
          <w:vertAlign w:val="superscript"/>
        </w:rPr>
        <w:t>+3</w:t>
      </w:r>
      <w:r>
        <w:t>/Cr</w:t>
      </w:r>
      <w:r>
        <w:rPr>
          <w:vertAlign w:val="superscript"/>
        </w:rPr>
        <w:t>+2</w:t>
      </w:r>
      <w:r>
        <w:t xml:space="preserve"> в интервале потенциалов 0.9-2.5 В </w:t>
      </w:r>
      <w:proofErr w:type="spellStart"/>
      <w:r>
        <w:t>отн</w:t>
      </w:r>
      <w:proofErr w:type="spellEnd"/>
      <w:r>
        <w:t xml:space="preserve">. </w:t>
      </w:r>
      <w:r>
        <w:rPr>
          <w:lang w:val="en-US"/>
        </w:rPr>
        <w:t>Na</w:t>
      </w:r>
      <w:r>
        <w:rPr>
          <w:vertAlign w:val="superscript"/>
        </w:rPr>
        <w:t>+</w:t>
      </w:r>
      <w:r>
        <w:t>/</w:t>
      </w:r>
      <w:r>
        <w:rPr>
          <w:lang w:val="en-US"/>
        </w:rPr>
        <w:t>Na</w:t>
      </w:r>
      <w:r>
        <w:t>. Цель данной работы – структурное и электрохимическое исследование предложенного анодного материала, направленное на улучшение его функциональных свойств.</w:t>
      </w:r>
    </w:p>
    <w:p w14:paraId="50484AFC" w14:textId="77777777" w:rsidR="006E22D0" w:rsidRDefault="00000000" w:rsidP="00FC04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Синтез образцов проводили с использованием золь-гель метода </w:t>
      </w:r>
      <w:proofErr w:type="spellStart"/>
      <w:r>
        <w:t>Печини</w:t>
      </w:r>
      <w:proofErr w:type="spellEnd"/>
      <w:r>
        <w:t xml:space="preserve">. По данным рентгенофазового анализа с последующим уточнением структуры методом </w:t>
      </w:r>
      <w:proofErr w:type="spellStart"/>
      <w:r>
        <w:t>Ритвельда</w:t>
      </w:r>
      <w:proofErr w:type="spellEnd"/>
      <w:r>
        <w:t xml:space="preserve">, полученное соединение со структурным каркасом </w:t>
      </w:r>
      <w:r>
        <w:rPr>
          <w:lang w:val="en-US"/>
        </w:rPr>
        <w:t>NASICON</w:t>
      </w:r>
      <w:r>
        <w:t xml:space="preserve"> (параметры элементарной ячейки: </w:t>
      </w:r>
      <w:r>
        <w:rPr>
          <w:i/>
          <w:iCs/>
        </w:rPr>
        <w:t>a</w:t>
      </w:r>
      <w:r>
        <w:t xml:space="preserve"> = 8.557(2) Å, </w:t>
      </w:r>
      <w:r>
        <w:rPr>
          <w:i/>
          <w:iCs/>
          <w:lang w:val="en-US"/>
        </w:rPr>
        <w:t>c</w:t>
      </w:r>
      <w:r>
        <w:t xml:space="preserve"> = 22.033(3) Å, </w:t>
      </w:r>
      <w:r>
        <w:rPr>
          <w:i/>
          <w:iCs/>
          <w:lang w:val="en-US"/>
        </w:rPr>
        <w:t>V</w:t>
      </w:r>
      <w:r>
        <w:t xml:space="preserve"> = 1397.3(5) Å</w:t>
      </w:r>
      <w:r>
        <w:rPr>
          <w:vertAlign w:val="superscript"/>
        </w:rPr>
        <w:t>3</w:t>
      </w:r>
      <w:r>
        <w:t>, пр. гр.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R</w:t>
      </w:r>
      <w:r>
        <w:rPr>
          <w:i/>
          <w:iCs/>
        </w:rPr>
        <w:t>-3</w:t>
      </w:r>
      <w:r>
        <w:rPr>
          <w:i/>
          <w:iCs/>
          <w:lang w:val="en-US"/>
        </w:rPr>
        <w:t>c</w:t>
      </w:r>
      <w:r>
        <w:t xml:space="preserve">) характеризуется отсутствием катионного упорядочения хрома и ниобия. Для проведения электрохимических измерений на поверхности частиц материала создавали углеродное покрытие путем пиролиза полиакрилонитрила [2]. По данным термического анализа, массовая доля углерода в образцах с покрытием варьировалась в пределах 6-13%. Обратимая емкость анодного материала при </w:t>
      </w:r>
      <w:proofErr w:type="spellStart"/>
      <w:r>
        <w:t>циклировании</w:t>
      </w:r>
      <w:proofErr w:type="spellEnd"/>
      <w:r>
        <w:t xml:space="preserve"> в </w:t>
      </w:r>
      <w:r>
        <w:rPr>
          <w:lang w:val="en-US"/>
        </w:rPr>
        <w:t>Na</w:t>
      </w:r>
      <w:r>
        <w:t>-ячейке на скорости 1</w:t>
      </w:r>
      <w:r>
        <w:rPr>
          <w:lang w:val="en-US"/>
        </w:rPr>
        <w:t>C</w:t>
      </w:r>
      <w:r>
        <w:t xml:space="preserve"> составила 146 </w:t>
      </w:r>
      <w:proofErr w:type="spellStart"/>
      <w:r>
        <w:t>мАч</w:t>
      </w:r>
      <w:proofErr w:type="spellEnd"/>
      <w:r>
        <w:t xml:space="preserve">/г (82% от </w:t>
      </w:r>
      <w:r>
        <w:rPr>
          <w:lang w:val="en-US"/>
        </w:rPr>
        <w:t>C</w:t>
      </w:r>
      <w:proofErr w:type="spellStart"/>
      <w:r>
        <w:rPr>
          <w:vertAlign w:val="subscript"/>
        </w:rPr>
        <w:t>теор</w:t>
      </w:r>
      <w:proofErr w:type="spellEnd"/>
      <w:r>
        <w:t xml:space="preserve">). Данные порошковой рентгеновской дифракции в режиме </w:t>
      </w:r>
      <w:proofErr w:type="spellStart"/>
      <w:r>
        <w:rPr>
          <w:i/>
          <w:iCs/>
        </w:rPr>
        <w:t>ex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situ</w:t>
      </w:r>
      <w:proofErr w:type="spellEnd"/>
      <w:r>
        <w:t xml:space="preserve"> подтвердили с</w:t>
      </w:r>
      <w:r>
        <w:rPr>
          <w:lang w:eastAsia="zh-CN"/>
        </w:rPr>
        <w:t xml:space="preserve">охранение структурного каркаса </w:t>
      </w:r>
      <w:r>
        <w:rPr>
          <w:lang w:val="en-US" w:eastAsia="zh-CN"/>
        </w:rPr>
        <w:t>NASICON</w:t>
      </w:r>
      <w:r>
        <w:rPr>
          <w:lang w:eastAsia="zh-CN"/>
        </w:rPr>
        <w:t xml:space="preserve"> и обратимость электрохимических процессов </w:t>
      </w:r>
      <w:r>
        <w:t>(де)интеркаляции натрия. Протекание обратимых редокс-переходов Nb</w:t>
      </w:r>
      <w:r>
        <w:rPr>
          <w:vertAlign w:val="superscript"/>
        </w:rPr>
        <w:t>+5</w:t>
      </w:r>
      <w:r>
        <w:t>/</w:t>
      </w:r>
      <w:r>
        <w:rPr>
          <w:lang w:val="en-US"/>
        </w:rPr>
        <w:t>Nb</w:t>
      </w:r>
      <w:r>
        <w:rPr>
          <w:vertAlign w:val="superscript"/>
        </w:rPr>
        <w:t>4+</w:t>
      </w:r>
      <w:r>
        <w:t>/Nb</w:t>
      </w:r>
      <w:r>
        <w:rPr>
          <w:vertAlign w:val="superscript"/>
        </w:rPr>
        <w:t>+3</w:t>
      </w:r>
      <w:r>
        <w:t xml:space="preserve"> и Cr</w:t>
      </w:r>
      <w:r>
        <w:rPr>
          <w:vertAlign w:val="superscript"/>
        </w:rPr>
        <w:t>+3</w:t>
      </w:r>
      <w:r>
        <w:t>/Cr</w:t>
      </w:r>
      <w:r>
        <w:rPr>
          <w:vertAlign w:val="superscript"/>
        </w:rPr>
        <w:t>+2</w:t>
      </w:r>
      <w:r>
        <w:t xml:space="preserve"> было доказано при помощи спектроскопии </w:t>
      </w:r>
      <w:r>
        <w:rPr>
          <w:lang w:eastAsia="zh-CN"/>
        </w:rPr>
        <w:t>XANES (</w:t>
      </w:r>
      <w:r>
        <w:rPr>
          <w:lang w:val="en-US" w:eastAsia="zh-CN"/>
        </w:rPr>
        <w:t>K</w:t>
      </w:r>
      <w:r>
        <w:rPr>
          <w:lang w:eastAsia="zh-CN"/>
        </w:rPr>
        <w:t xml:space="preserve">-линии </w:t>
      </w:r>
      <w:r>
        <w:rPr>
          <w:lang w:val="en-US" w:eastAsia="zh-CN"/>
        </w:rPr>
        <w:t>Cr</w:t>
      </w:r>
      <w:r>
        <w:rPr>
          <w:lang w:eastAsia="zh-CN"/>
        </w:rPr>
        <w:t xml:space="preserve"> и </w:t>
      </w:r>
      <w:r>
        <w:rPr>
          <w:lang w:val="en-US" w:eastAsia="zh-CN"/>
        </w:rPr>
        <w:t>Nb</w:t>
      </w:r>
      <w:r>
        <w:rPr>
          <w:lang w:eastAsia="zh-CN"/>
        </w:rPr>
        <w:t xml:space="preserve">) в режиме </w:t>
      </w:r>
      <w:r>
        <w:rPr>
          <w:i/>
          <w:iCs/>
          <w:lang w:val="en-US" w:eastAsia="zh-CN"/>
        </w:rPr>
        <w:t>ex</w:t>
      </w:r>
      <w:r>
        <w:rPr>
          <w:i/>
          <w:iCs/>
          <w:lang w:eastAsia="zh-CN"/>
        </w:rPr>
        <w:t xml:space="preserve"> </w:t>
      </w:r>
      <w:r>
        <w:rPr>
          <w:i/>
          <w:iCs/>
          <w:lang w:val="en-US" w:eastAsia="zh-CN"/>
        </w:rPr>
        <w:t>situ</w:t>
      </w:r>
      <w:r>
        <w:rPr>
          <w:lang w:eastAsia="zh-CN"/>
        </w:rPr>
        <w:t xml:space="preserve">. </w:t>
      </w:r>
    </w:p>
    <w:p w14:paraId="00717773" w14:textId="77777777" w:rsidR="006E22D0" w:rsidRDefault="00000000" w:rsidP="00FC04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Для повышения циклической устойчивости полученного материала были исследованы различные способы улучшения его проводящих свойств (с использованием </w:t>
      </w:r>
      <w:proofErr w:type="spellStart"/>
      <w:r>
        <w:t>полианилина</w:t>
      </w:r>
      <w:proofErr w:type="spellEnd"/>
      <w:r>
        <w:t>, поли(</w:t>
      </w:r>
      <w:r>
        <w:rPr>
          <w:lang w:eastAsia="zh-CN"/>
        </w:rPr>
        <w:t xml:space="preserve">3,4-этилендиокситиофена), </w:t>
      </w:r>
      <w:proofErr w:type="spellStart"/>
      <w:r>
        <w:rPr>
          <w:lang w:eastAsia="zh-CN"/>
        </w:rPr>
        <w:t>одностенных</w:t>
      </w:r>
      <w:proofErr w:type="spellEnd"/>
      <w:r>
        <w:rPr>
          <w:lang w:eastAsia="zh-CN"/>
        </w:rPr>
        <w:t xml:space="preserve"> углеродных нанотрубок (ОУНТ). Так, добавление ОУНТ (2% по массе) позволило снизить вдвое </w:t>
      </w:r>
      <w:r>
        <w:t xml:space="preserve">(с 27 до 13%) </w:t>
      </w:r>
      <w:r>
        <w:rPr>
          <w:lang w:eastAsia="zh-CN"/>
        </w:rPr>
        <w:t>падение емкости материала</w:t>
      </w:r>
      <w:r>
        <w:t xml:space="preserve"> после 200 циклов заряда-разряда на скорости 1</w:t>
      </w:r>
      <w:r>
        <w:rPr>
          <w:lang w:val="en-US"/>
        </w:rPr>
        <w:t>C</w:t>
      </w:r>
      <w:r>
        <w:t>.</w:t>
      </w:r>
    </w:p>
    <w:p w14:paraId="1C001859" w14:textId="77777777" w:rsidR="006E22D0" w:rsidRDefault="00000000" w:rsidP="00FC04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lang w:eastAsia="zh-CN"/>
        </w:rPr>
      </w:pPr>
      <w:r>
        <w:rPr>
          <w:i/>
          <w:iCs/>
          <w:lang w:eastAsia="zh-CN"/>
        </w:rPr>
        <w:t>Работа выполнена в рамках гранта РНФ №23-13-00071.</w:t>
      </w:r>
    </w:p>
    <w:p w14:paraId="4AB2D032" w14:textId="77777777" w:rsidR="006E22D0" w:rsidRDefault="00000000">
      <w:pP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48E9E68B" w14:textId="77777777" w:rsidR="006E22D0" w:rsidRDefault="00000000">
      <w:pPr>
        <w:shd w:val="clear" w:color="auto" w:fill="FFFFFF"/>
        <w:jc w:val="both"/>
        <w:rPr>
          <w:lang w:val="en-US" w:eastAsia="zh-CN"/>
        </w:rPr>
      </w:pPr>
      <w:r>
        <w:rPr>
          <w:lang w:val="en-US" w:eastAsia="zh-CN"/>
        </w:rPr>
        <w:t>1. Grosjean C., Miranda P., Perrin M., Poggi P. Assessment of world lithium resources and consequences of their geographic distribution on the expected development of the electric vehicle industry // Renewable Sustainable Energy Rev. 2012. 16. 1735–1744.</w:t>
      </w:r>
    </w:p>
    <w:p w14:paraId="503E3285" w14:textId="77777777" w:rsidR="006E22D0" w:rsidRDefault="00000000">
      <w:pPr>
        <w:shd w:val="clear" w:color="auto" w:fill="FFFFFF"/>
        <w:jc w:val="both"/>
        <w:rPr>
          <w:lang w:val="en-US" w:eastAsia="zh-CN"/>
        </w:rPr>
      </w:pPr>
      <w:r w:rsidRPr="00FC04A5">
        <w:rPr>
          <w:lang w:val="en-US"/>
        </w:rPr>
        <w:t>2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Nazarov</w:t>
      </w:r>
      <w:proofErr w:type="spellEnd"/>
      <w:r>
        <w:rPr>
          <w:lang w:val="en-US"/>
        </w:rPr>
        <w:t xml:space="preserve"> E., </w:t>
      </w:r>
      <w:proofErr w:type="spellStart"/>
      <w:r>
        <w:rPr>
          <w:lang w:val="en-US"/>
        </w:rPr>
        <w:t>Tyablikov</w:t>
      </w:r>
      <w:proofErr w:type="spellEnd"/>
      <w:r>
        <w:rPr>
          <w:lang w:val="en-US"/>
        </w:rPr>
        <w:t xml:space="preserve"> O., Nikitina V., </w:t>
      </w:r>
      <w:proofErr w:type="spellStart"/>
      <w:r>
        <w:rPr>
          <w:lang w:val="en-US"/>
        </w:rPr>
        <w:t>Antipov</w:t>
      </w:r>
      <w:proofErr w:type="spellEnd"/>
      <w:r>
        <w:rPr>
          <w:lang w:val="en-US"/>
        </w:rPr>
        <w:t xml:space="preserve"> E., </w:t>
      </w:r>
      <w:proofErr w:type="spellStart"/>
      <w:r>
        <w:rPr>
          <w:lang w:val="en-US"/>
        </w:rPr>
        <w:t>Fedotov</w:t>
      </w:r>
      <w:proofErr w:type="spellEnd"/>
      <w:r>
        <w:rPr>
          <w:lang w:val="en-US"/>
        </w:rPr>
        <w:t xml:space="preserve"> S. Polyacrylonitrile-Derived Carbon Nanocoating for Long-Life High-Power Phosphate Electrodes // Appl. Nano</w:t>
      </w:r>
      <w:r>
        <w:t>.</w:t>
      </w:r>
      <w:r>
        <w:rPr>
          <w:lang w:val="en-US"/>
        </w:rPr>
        <w:t> 2023</w:t>
      </w:r>
      <w:r>
        <w:t>.</w:t>
      </w:r>
      <w:r>
        <w:rPr>
          <w:lang w:val="en-US"/>
        </w:rPr>
        <w:t> 4</w:t>
      </w:r>
      <w:r>
        <w:t xml:space="preserve">. </w:t>
      </w:r>
      <w:r>
        <w:rPr>
          <w:lang w:val="en-US"/>
        </w:rPr>
        <w:t>25-37.</w:t>
      </w:r>
    </w:p>
    <w:sectPr w:rsidR="006E22D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6375"/>
    <w:rsid w:val="00116478"/>
    <w:rsid w:val="00130241"/>
    <w:rsid w:val="0013216F"/>
    <w:rsid w:val="001A4B43"/>
    <w:rsid w:val="001C1F9D"/>
    <w:rsid w:val="001E61C2"/>
    <w:rsid w:val="001F0493"/>
    <w:rsid w:val="002264EE"/>
    <w:rsid w:val="0023307C"/>
    <w:rsid w:val="0031361E"/>
    <w:rsid w:val="00391C38"/>
    <w:rsid w:val="003B76D6"/>
    <w:rsid w:val="003B7C8E"/>
    <w:rsid w:val="00472C06"/>
    <w:rsid w:val="004A26A3"/>
    <w:rsid w:val="004D7DDD"/>
    <w:rsid w:val="004F0EDF"/>
    <w:rsid w:val="00522BF1"/>
    <w:rsid w:val="00527145"/>
    <w:rsid w:val="00552190"/>
    <w:rsid w:val="0055263C"/>
    <w:rsid w:val="00590166"/>
    <w:rsid w:val="005B38B9"/>
    <w:rsid w:val="005D6C69"/>
    <w:rsid w:val="00627AB0"/>
    <w:rsid w:val="0069427D"/>
    <w:rsid w:val="006E22D0"/>
    <w:rsid w:val="006F7A19"/>
    <w:rsid w:val="00736C10"/>
    <w:rsid w:val="00775389"/>
    <w:rsid w:val="00797838"/>
    <w:rsid w:val="007C36D8"/>
    <w:rsid w:val="007F2744"/>
    <w:rsid w:val="00821D11"/>
    <w:rsid w:val="008931BE"/>
    <w:rsid w:val="008D6B0E"/>
    <w:rsid w:val="00921D45"/>
    <w:rsid w:val="009A66DB"/>
    <w:rsid w:val="009B2F80"/>
    <w:rsid w:val="009B3300"/>
    <w:rsid w:val="009F3380"/>
    <w:rsid w:val="009F5C0D"/>
    <w:rsid w:val="00A02163"/>
    <w:rsid w:val="00A314FE"/>
    <w:rsid w:val="00A322FE"/>
    <w:rsid w:val="00B66F4E"/>
    <w:rsid w:val="00BF36F8"/>
    <w:rsid w:val="00BF4622"/>
    <w:rsid w:val="00CB631E"/>
    <w:rsid w:val="00CD00B1"/>
    <w:rsid w:val="00D1479B"/>
    <w:rsid w:val="00D22306"/>
    <w:rsid w:val="00D33213"/>
    <w:rsid w:val="00D42542"/>
    <w:rsid w:val="00D629E9"/>
    <w:rsid w:val="00D8121C"/>
    <w:rsid w:val="00DD1AF4"/>
    <w:rsid w:val="00DE6078"/>
    <w:rsid w:val="00E22189"/>
    <w:rsid w:val="00E4387A"/>
    <w:rsid w:val="00E74069"/>
    <w:rsid w:val="00EA5835"/>
    <w:rsid w:val="00EB1F49"/>
    <w:rsid w:val="00F34A6D"/>
    <w:rsid w:val="00F865B3"/>
    <w:rsid w:val="00FA3637"/>
    <w:rsid w:val="00FB1509"/>
    <w:rsid w:val="00FC04A5"/>
    <w:rsid w:val="00FD4A99"/>
    <w:rsid w:val="00FF1903"/>
    <w:rsid w:val="06C54DB0"/>
    <w:rsid w:val="09A70ED4"/>
    <w:rsid w:val="0D321F67"/>
    <w:rsid w:val="11587608"/>
    <w:rsid w:val="13151F44"/>
    <w:rsid w:val="17F60290"/>
    <w:rsid w:val="191C5A3D"/>
    <w:rsid w:val="192A44E7"/>
    <w:rsid w:val="1C901554"/>
    <w:rsid w:val="1E7E60FC"/>
    <w:rsid w:val="224A0A33"/>
    <w:rsid w:val="23D53298"/>
    <w:rsid w:val="27A4547E"/>
    <w:rsid w:val="295B0D23"/>
    <w:rsid w:val="29CC3ADB"/>
    <w:rsid w:val="2B0A42BE"/>
    <w:rsid w:val="2E9054BA"/>
    <w:rsid w:val="31C72BB9"/>
    <w:rsid w:val="376B3EC3"/>
    <w:rsid w:val="389935B7"/>
    <w:rsid w:val="394D6119"/>
    <w:rsid w:val="3B777033"/>
    <w:rsid w:val="429741AD"/>
    <w:rsid w:val="43093040"/>
    <w:rsid w:val="4312656A"/>
    <w:rsid w:val="444C43C5"/>
    <w:rsid w:val="4A24773B"/>
    <w:rsid w:val="4A2C3086"/>
    <w:rsid w:val="4C493482"/>
    <w:rsid w:val="4DFF322E"/>
    <w:rsid w:val="51735001"/>
    <w:rsid w:val="52471B34"/>
    <w:rsid w:val="52C91517"/>
    <w:rsid w:val="57045CD0"/>
    <w:rsid w:val="576519F4"/>
    <w:rsid w:val="64D63485"/>
    <w:rsid w:val="680D623A"/>
    <w:rsid w:val="6E937E25"/>
    <w:rsid w:val="7277608A"/>
    <w:rsid w:val="76311F84"/>
    <w:rsid w:val="776E2BC5"/>
    <w:rsid w:val="77EC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D5F3AB9"/>
  <w14:defaultImageDpi w14:val="0"/>
  <w15:docId w15:val="{0AD54C22-6970-0E45-9F50-B8BD43C7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locked/>
    <w:rPr>
      <w:i/>
      <w:iCs/>
    </w:rPr>
  </w:style>
  <w:style w:type="character" w:styleId="a4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Pr>
      <w:rFonts w:cs="Times New Roman"/>
      <w:b/>
    </w:rPr>
  </w:style>
  <w:style w:type="paragraph" w:styleId="a6">
    <w:name w:val="Title"/>
    <w:basedOn w:val="a"/>
    <w:next w:val="a"/>
    <w:link w:val="a7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Normal (Web)"/>
    <w:basedOn w:val="a"/>
    <w:uiPriority w:val="99"/>
    <w:semiHidden/>
    <w:qFormat/>
    <w:pPr>
      <w:spacing w:beforeAutospacing="1" w:afterAutospacing="1"/>
    </w:pPr>
    <w:rPr>
      <w:lang w:val="en-US" w:eastAsia="zh-CN"/>
    </w:rPr>
  </w:style>
  <w:style w:type="paragraph" w:styleId="a9">
    <w:name w:val="Subtitle"/>
    <w:basedOn w:val="a"/>
    <w:next w:val="a"/>
    <w:link w:val="aa"/>
    <w:uiPriority w:val="99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Theme="minorHAnsi" w:eastAsiaTheme="minorEastAsia" w:hAnsiTheme="minorHAnsi" w:cstheme="minorBidi"/>
      <w:b/>
      <w:bCs/>
      <w:lang w:val="ru-RU" w:eastAsia="ru-RU"/>
    </w:rPr>
  </w:style>
  <w:style w:type="character" w:customStyle="1" w:styleId="a7">
    <w:name w:val="Заголовок Знак"/>
    <w:basedOn w:val="a0"/>
    <w:link w:val="a6"/>
    <w:uiPriority w:val="10"/>
    <w:qFormat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character" w:customStyle="1" w:styleId="aa">
    <w:name w:val="Подзаголовок Знак"/>
    <w:basedOn w:val="a0"/>
    <w:link w:val="a9"/>
    <w:uiPriority w:val="11"/>
    <w:qFormat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table" w:customStyle="1" w:styleId="TableNormal1">
    <w:name w:val="Table Normal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link w:val="ac"/>
    <w:uiPriority w:val="99"/>
    <w:qFormat/>
    <w:pPr>
      <w:ind w:left="720"/>
      <w:contextualSpacing/>
    </w:pPr>
  </w:style>
  <w:style w:type="character" w:customStyle="1" w:styleId="ac">
    <w:name w:val="Абзац списка Знак"/>
    <w:basedOn w:val="a0"/>
    <w:link w:val="ab"/>
    <w:uiPriority w:val="99"/>
    <w:qFormat/>
    <w:locked/>
    <w:rPr>
      <w:rFonts w:cs="Times New Roman"/>
    </w:rPr>
  </w:style>
  <w:style w:type="character" w:styleId="ad">
    <w:name w:val="Placeholder Text"/>
    <w:basedOn w:val="a0"/>
    <w:uiPriority w:val="99"/>
    <w:semiHidden/>
    <w:qFormat/>
    <w:rPr>
      <w:color w:val="808080"/>
    </w:rPr>
  </w:style>
  <w:style w:type="paragraph" w:styleId="ae">
    <w:name w:val="No Spacing"/>
    <w:uiPriority w:val="99"/>
    <w:qFormat/>
    <w:rPr>
      <w:rFonts w:ascii="Calibri" w:hAnsi="Calibri"/>
      <w:sz w:val="22"/>
      <w:szCs w:val="22"/>
      <w:lang w:val="en-US" w:eastAsia="en-US"/>
    </w:rPr>
  </w:style>
  <w:style w:type="character" w:customStyle="1" w:styleId="UnresolvedMention1">
    <w:name w:val="Unresolved Mention1"/>
    <w:uiPriority w:val="99"/>
    <w:semiHidden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473</Words>
  <Characters>2702</Characters>
  <Application>Microsoft Office Word</Application>
  <DocSecurity>0</DocSecurity>
  <Lines>22</Lines>
  <Paragraphs>6</Paragraphs>
  <ScaleCrop>false</ScaleCrop>
  <Company>Lomonosov MSU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google1537809092</dc:creator>
  <cp:lastModifiedBy>Дарья Карлова</cp:lastModifiedBy>
  <cp:revision>3</cp:revision>
  <dcterms:created xsi:type="dcterms:W3CDTF">2024-02-27T16:45:00Z</dcterms:created>
  <dcterms:modified xsi:type="dcterms:W3CDTF">2024-03-04T06:42:00Z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1049-12.2.0.13489</vt:lpwstr>
  </property>
  <property fmtid="{D5CDD505-2E9C-101B-9397-08002B2CF9AE}" pid="26" name="ICV">
    <vt:lpwstr>42E28DD2F1F947BC800C1EAB2FECE334</vt:lpwstr>
  </property>
</Properties>
</file>