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Внутренне хиральные каликсарены, содержащие амино- и триазольные группы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Алексеев И.С., Вацуро И.М.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Аспирант 1-го года обучения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Московский государственный университет имени М.В.Ломоносова,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химический факультет, Москва, Россия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alekseevivansergeevich@mail.ru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Разработка способов получения энантиомерно чистых соединений является чрезвычайно важной задачей современной органической химии. Перспективным путем ее решения является конструирование на основе макроциклических систем, в частности, каликсаренов, хиральных рецепторных молекул, способных к эффективной энантиодискриминации двух оптических изомеров. Такие системы могут быть использованы как для создания энантиоселективных катализаторов, так и напрямую, в качестве молекул-«хозяев» для распознавания и разделения смесей энантиомеров.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настоящем исследовании разработаны способы получения энантиомеров оптически  активных  каликс[4]аренов, обладающих внутренней (inherent) хиральностью за счет асимметрического расположения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-бутильной, амино- и триазольных групп на верхнем ободе макроцикла. Для создания асимметричного расположения заместителей в каликсареновом макроцикле использовано селективное введение одной или двух защитных групп в каликс[4]арен, содержащий три амино- и одну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-бутильную группы, и последующие трансформации аминогрупп  в  азидные  и триазольные. На промежуточных стадиях синтеза в структуры каликсаренов вводили вспомогательные хиральные фрагменты, полученные  смеси  диастереомеров  разделяли с использованием колоночной хроматографии, и, после удаления вспомогательгных групп, получали энантиомеры оптически активных целевых каликсаренов.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5830570" cy="316420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30570" cy="31642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ожидается, амино- и триазольные группы в структурах разработанных каликсаренов будут способствовать энантиоселективному связыванию ими оптически активных молекул-«гостей» за счет водородных связей, стекинговых взаимодействий и стерических факторов. Наличие свободных аминогрупп, при этом, позволит тонко настраивать рецепторные свойства внутренне хиральных каликсаренов при синтезах мочевин, амидов и иминов без необходимости  разделения  смесей энантиомеров.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Исследование выполнено при поддержке Российского научного фонда, проект № 24-23-00158.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361" w:right="136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lekseevivansergeevich@mail.ru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