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1DD" w:rsidRDefault="009134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color w:val="000000"/>
        </w:rPr>
        <w:t>Озонолиз</w:t>
      </w:r>
      <w:proofErr w:type="spellEnd"/>
      <w:r>
        <w:rPr>
          <w:b/>
          <w:color w:val="000000"/>
        </w:rPr>
        <w:t xml:space="preserve"> </w:t>
      </w:r>
      <w:r w:rsidR="00146F1C">
        <w:rPr>
          <w:b/>
          <w:color w:val="000000"/>
        </w:rPr>
        <w:t xml:space="preserve">соединений с </w:t>
      </w:r>
      <w:r>
        <w:rPr>
          <w:b/>
          <w:color w:val="000000"/>
        </w:rPr>
        <w:t>кратной связ</w:t>
      </w:r>
      <w:r w:rsidR="00146F1C">
        <w:rPr>
          <w:b/>
          <w:color w:val="000000"/>
        </w:rPr>
        <w:t>ью</w:t>
      </w:r>
      <w:r>
        <w:rPr>
          <w:b/>
          <w:color w:val="000000"/>
        </w:rPr>
        <w:t xml:space="preserve"> углерод-азот как селективный метод синтеза </w:t>
      </w:r>
      <w:proofErr w:type="spellStart"/>
      <w:r>
        <w:rPr>
          <w:b/>
          <w:color w:val="000000"/>
        </w:rPr>
        <w:t>биспероксидов</w:t>
      </w:r>
      <w:proofErr w:type="spellEnd"/>
    </w:p>
    <w:p w:rsidR="000001DD" w:rsidRPr="00864CE8" w:rsidRDefault="00D404AE">
      <w:pPr>
        <w:jc w:val="center"/>
        <w:rPr>
          <w:b/>
          <w:i/>
          <w:iCs/>
        </w:rPr>
      </w:pPr>
      <w:proofErr w:type="spellStart"/>
      <w:r w:rsidRPr="00864CE8">
        <w:rPr>
          <w:b/>
          <w:i/>
        </w:rPr>
        <w:t>Слигузова</w:t>
      </w:r>
      <w:proofErr w:type="spellEnd"/>
      <w:r w:rsidRPr="00864CE8">
        <w:rPr>
          <w:b/>
          <w:i/>
        </w:rPr>
        <w:t> Д.Ю.</w:t>
      </w:r>
      <w:r w:rsidRPr="00864CE8">
        <w:rPr>
          <w:b/>
          <w:i/>
          <w:iCs/>
          <w:vertAlign w:val="superscript"/>
        </w:rPr>
        <w:t>1,2</w:t>
      </w:r>
      <w:r w:rsidRPr="00864CE8">
        <w:rPr>
          <w:b/>
          <w:i/>
        </w:rPr>
        <w:t>, </w:t>
      </w:r>
      <w:proofErr w:type="spellStart"/>
      <w:r w:rsidRPr="00864CE8">
        <w:rPr>
          <w:b/>
          <w:i/>
        </w:rPr>
        <w:t>Будехин</w:t>
      </w:r>
      <w:proofErr w:type="spellEnd"/>
      <w:r w:rsidRPr="00864CE8">
        <w:rPr>
          <w:b/>
          <w:i/>
        </w:rPr>
        <w:t> Р.А.</w:t>
      </w:r>
      <w:r w:rsidRPr="00864CE8">
        <w:rPr>
          <w:b/>
          <w:i/>
          <w:iCs/>
          <w:vertAlign w:val="superscript"/>
        </w:rPr>
        <w:t>1,2</w:t>
      </w:r>
      <w:r w:rsidRPr="00864CE8">
        <w:rPr>
          <w:b/>
          <w:i/>
        </w:rPr>
        <w:t>,</w:t>
      </w:r>
      <w:r w:rsidRPr="00864CE8">
        <w:rPr>
          <w:b/>
          <w:i/>
          <w:iCs/>
        </w:rPr>
        <w:t> </w:t>
      </w:r>
      <w:proofErr w:type="spellStart"/>
      <w:r w:rsidRPr="00864CE8">
        <w:rPr>
          <w:b/>
          <w:i/>
        </w:rPr>
        <w:t>Фоменков</w:t>
      </w:r>
      <w:proofErr w:type="spellEnd"/>
      <w:r w:rsidRPr="00864CE8">
        <w:rPr>
          <w:b/>
          <w:i/>
        </w:rPr>
        <w:t xml:space="preserve"> Д.И.</w:t>
      </w:r>
      <w:r w:rsidRPr="00864CE8">
        <w:rPr>
          <w:b/>
          <w:i/>
          <w:iCs/>
          <w:vertAlign w:val="superscript"/>
        </w:rPr>
        <w:t>1,2</w:t>
      </w:r>
      <w:r w:rsidRPr="00864CE8">
        <w:rPr>
          <w:b/>
          <w:i/>
        </w:rPr>
        <w:t>, Терентьев А.О.</w:t>
      </w:r>
      <w:r w:rsidRPr="00864CE8">
        <w:rPr>
          <w:b/>
          <w:i/>
          <w:iCs/>
          <w:vertAlign w:val="superscript"/>
        </w:rPr>
        <w:t>1,2</w:t>
      </w:r>
    </w:p>
    <w:p w:rsidR="000001DD" w:rsidRDefault="00D404AE">
      <w:pPr>
        <w:jc w:val="center"/>
        <w:rPr>
          <w:i/>
          <w:iCs/>
        </w:rPr>
      </w:pPr>
      <w:r>
        <w:rPr>
          <w:i/>
          <w:iCs/>
        </w:rPr>
        <w:t xml:space="preserve">Студент, 2 курс </w:t>
      </w:r>
      <w:proofErr w:type="spellStart"/>
      <w:r>
        <w:rPr>
          <w:i/>
          <w:iCs/>
        </w:rPr>
        <w:t>специалитета</w:t>
      </w:r>
      <w:proofErr w:type="spellEnd"/>
    </w:p>
    <w:p w:rsidR="000001DD" w:rsidRDefault="00D404AE">
      <w:pPr>
        <w:jc w:val="center"/>
      </w:pPr>
      <w:r>
        <w:rPr>
          <w:i/>
          <w:iCs/>
          <w:vertAlign w:val="superscript"/>
        </w:rPr>
        <w:t>1</w:t>
      </w:r>
      <w:r>
        <w:rPr>
          <w:i/>
          <w:iCs/>
        </w:rPr>
        <w:t xml:space="preserve">Институт органической химии им. Н. Д. Зелинского РАН, </w:t>
      </w:r>
      <w:r>
        <w:rPr>
          <w:i/>
          <w:iCs/>
        </w:rPr>
        <w:t>Москва, Россия</w:t>
      </w:r>
    </w:p>
    <w:p w:rsidR="000001DD" w:rsidRDefault="00D404AE">
      <w:pPr>
        <w:jc w:val="center"/>
      </w:pPr>
      <w:r>
        <w:rPr>
          <w:i/>
          <w:iCs/>
          <w:vertAlign w:val="superscript"/>
        </w:rPr>
        <w:t>2</w:t>
      </w:r>
      <w:r>
        <w:rPr>
          <w:i/>
          <w:iCs/>
        </w:rPr>
        <w:t>Российский химико-технологический университет им. Д.И. Менделеева,</w:t>
      </w:r>
      <w:r>
        <w:t> </w:t>
      </w:r>
      <w:r>
        <w:rPr>
          <w:i/>
          <w:iCs/>
        </w:rPr>
        <w:t>Высший химический колледж РАН, Москва, Россия</w:t>
      </w:r>
    </w:p>
    <w:p w:rsidR="000001DD" w:rsidRDefault="00D404AE">
      <w:pPr>
        <w:jc w:val="center"/>
        <w:rPr>
          <w:i/>
          <w:iCs/>
        </w:rPr>
      </w:pPr>
      <w:proofErr w:type="spellStart"/>
      <w:r>
        <w:rPr>
          <w:i/>
          <w:iCs/>
        </w:rPr>
        <w:t>E-mail</w:t>
      </w:r>
      <w:proofErr w:type="spellEnd"/>
      <w:r>
        <w:rPr>
          <w:i/>
          <w:iCs/>
        </w:rPr>
        <w:t xml:space="preserve">: </w:t>
      </w:r>
      <w:hyperlink r:id="rId8" w:tooltip="mailto:dashasliguzova@yandex.ru" w:history="1">
        <w:r>
          <w:rPr>
            <w:rStyle w:val="afb"/>
            <w:i/>
            <w:iCs/>
          </w:rPr>
          <w:t>dashasliguzova@yandex.ru</w:t>
        </w:r>
      </w:hyperlink>
    </w:p>
    <w:p w:rsidR="000001DD" w:rsidRDefault="00D404AE" w:rsidP="00864CE8">
      <w:pPr>
        <w:pStyle w:val="afc"/>
        <w:spacing w:before="0" w:beforeAutospacing="0" w:after="0" w:afterAutospacing="0"/>
        <w:ind w:firstLine="397"/>
        <w:jc w:val="both"/>
        <w:rPr>
          <w:rStyle w:val="af8"/>
        </w:rPr>
      </w:pPr>
      <w:r>
        <w:rPr>
          <w:color w:val="000000"/>
        </w:rPr>
        <w:t>Органически</w:t>
      </w:r>
      <w:r>
        <w:rPr>
          <w:color w:val="000000"/>
        </w:rPr>
        <w:t xml:space="preserve">е </w:t>
      </w:r>
      <w:proofErr w:type="spellStart"/>
      <w:r>
        <w:rPr>
          <w:color w:val="000000"/>
        </w:rPr>
        <w:t>пероксиды</w:t>
      </w:r>
      <w:proofErr w:type="spellEnd"/>
      <w:r>
        <w:rPr>
          <w:color w:val="000000"/>
        </w:rPr>
        <w:t xml:space="preserve"> являются перспективным классом соединений, нашедшим свое применение в различных областях </w:t>
      </w:r>
      <w:bookmarkStart w:id="0" w:name="_Hlk118903136"/>
      <w:r>
        <w:t>химической промышленности, например, в качестве инициаторов радикальной полимеризации, реагентов для сшивки полимеров, топливных добавок</w:t>
      </w:r>
      <w:bookmarkEnd w:id="0"/>
      <w:r>
        <w:t>, а также окислител</w:t>
      </w:r>
      <w:r>
        <w:t xml:space="preserve">ьных агентов. Кроме того, класс органических </w:t>
      </w:r>
      <w:proofErr w:type="spellStart"/>
      <w:r>
        <w:t>пероксидов</w:t>
      </w:r>
      <w:proofErr w:type="spellEnd"/>
      <w:r>
        <w:t xml:space="preserve"> чрезвычайно богат соединениями, проявляющими различные виды биологической активности [1]. Однако, несмотря на более чем вековую историю химии </w:t>
      </w:r>
      <w:proofErr w:type="spellStart"/>
      <w:r>
        <w:t>пероксидов</w:t>
      </w:r>
      <w:proofErr w:type="spellEnd"/>
      <w:r>
        <w:t xml:space="preserve"> и широкую обла</w:t>
      </w:r>
      <w:r>
        <w:rPr>
          <w:rStyle w:val="af8"/>
        </w:rPr>
        <w:t>сть применения данных соединений,</w:t>
      </w:r>
      <w:r>
        <w:rPr>
          <w:rStyle w:val="af8"/>
        </w:rPr>
        <w:t xml:space="preserve"> до сих пор является актуальной проблема их селективного синтеза.</w:t>
      </w:r>
    </w:p>
    <w:p w:rsidR="000001DD" w:rsidRDefault="00D404AE" w:rsidP="00864CE8">
      <w:pPr>
        <w:pStyle w:val="afc"/>
        <w:spacing w:before="0" w:beforeAutospacing="0" w:after="0" w:afterAutospacing="0"/>
        <w:ind w:firstLine="397"/>
        <w:jc w:val="both"/>
      </w:pPr>
      <w:r>
        <w:rPr>
          <w:color w:val="000000" w:themeColor="text1"/>
        </w:rPr>
        <w:t xml:space="preserve">Одним из основных методов получения органических </w:t>
      </w:r>
      <w:proofErr w:type="spellStart"/>
      <w:r>
        <w:rPr>
          <w:color w:val="000000" w:themeColor="text1"/>
        </w:rPr>
        <w:t>пероксидов</w:t>
      </w:r>
      <w:proofErr w:type="spellEnd"/>
      <w:r>
        <w:rPr>
          <w:color w:val="000000" w:themeColor="text1"/>
        </w:rPr>
        <w:t xml:space="preserve"> является </w:t>
      </w:r>
      <w:proofErr w:type="spellStart"/>
      <w:r>
        <w:rPr>
          <w:color w:val="000000" w:themeColor="text1"/>
        </w:rPr>
        <w:t>озонолиз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алкенов</w:t>
      </w:r>
      <w:proofErr w:type="spellEnd"/>
      <w:r>
        <w:rPr>
          <w:color w:val="000000" w:themeColor="text1"/>
        </w:rPr>
        <w:t xml:space="preserve">. Ключевым </w:t>
      </w:r>
      <w:proofErr w:type="spellStart"/>
      <w:r>
        <w:rPr>
          <w:color w:val="000000" w:themeColor="text1"/>
        </w:rPr>
        <w:t>интермедиатом</w:t>
      </w:r>
      <w:proofErr w:type="spellEnd"/>
      <w:r>
        <w:rPr>
          <w:color w:val="000000" w:themeColor="text1"/>
        </w:rPr>
        <w:t xml:space="preserve"> </w:t>
      </w:r>
      <w:r>
        <w:t xml:space="preserve">данной реакции является </w:t>
      </w:r>
      <w:proofErr w:type="spellStart"/>
      <w:r>
        <w:t>пероксикарбениевый</w:t>
      </w:r>
      <w:proofErr w:type="spellEnd"/>
      <w:r>
        <w:t xml:space="preserve"> </w:t>
      </w:r>
      <w:proofErr w:type="spellStart"/>
      <w:r>
        <w:t>цвиттер-ион</w:t>
      </w:r>
      <w:proofErr w:type="spellEnd"/>
      <w:r>
        <w:t xml:space="preserve"> (</w:t>
      </w:r>
      <w:proofErr w:type="spellStart"/>
      <w:r>
        <w:t>карбонил-оксид</w:t>
      </w:r>
      <w:proofErr w:type="spellEnd"/>
      <w:r>
        <w:t xml:space="preserve">, </w:t>
      </w:r>
      <w:proofErr w:type="spellStart"/>
      <w:r>
        <w:t>интермед</w:t>
      </w:r>
      <w:r>
        <w:t>иат</w:t>
      </w:r>
      <w:proofErr w:type="spellEnd"/>
      <w:r>
        <w:t xml:space="preserve"> </w:t>
      </w:r>
      <w:proofErr w:type="spellStart"/>
      <w:r>
        <w:t>Криге</w:t>
      </w:r>
      <w:proofErr w:type="spellEnd"/>
      <w:r>
        <w:t>), обладающий широким синтетическим потенциалом</w:t>
      </w:r>
      <w:r>
        <w:rPr>
          <w:lang w:val="en-US"/>
        </w:rPr>
        <w:t> </w:t>
      </w:r>
      <w:r>
        <w:t xml:space="preserve">[2]. Однако, </w:t>
      </w:r>
      <w:proofErr w:type="spellStart"/>
      <w:r>
        <w:t>озонолиз</w:t>
      </w:r>
      <w:proofErr w:type="spellEnd"/>
      <w:r>
        <w:t xml:space="preserve"> </w:t>
      </w:r>
      <w:proofErr w:type="spellStart"/>
      <w:r>
        <w:t>алкенов</w:t>
      </w:r>
      <w:proofErr w:type="spellEnd"/>
      <w:r>
        <w:t xml:space="preserve"> имеет существенный недостаток ‒ в ходе реакции происходит одновременное образование сразу двух </w:t>
      </w:r>
      <w:proofErr w:type="spellStart"/>
      <w:r>
        <w:t>интермедиатов</w:t>
      </w:r>
      <w:proofErr w:type="spellEnd"/>
      <w:r>
        <w:t xml:space="preserve"> </w:t>
      </w:r>
      <w:proofErr w:type="spellStart"/>
      <w:r>
        <w:t>Криге</w:t>
      </w:r>
      <w:proofErr w:type="spellEnd"/>
      <w:r>
        <w:t xml:space="preserve"> и двух карбонильных соединений, которые могут взаимоде</w:t>
      </w:r>
      <w:r>
        <w:t>йствовать друг с другом с образованием широкого ряда продуктов.</w:t>
      </w:r>
      <w:r>
        <w:rPr>
          <w:color w:val="000000"/>
        </w:rPr>
        <w:t xml:space="preserve"> </w:t>
      </w:r>
      <w:proofErr w:type="spellStart"/>
      <w:r>
        <w:t>Озонолиз</w:t>
      </w:r>
      <w:proofErr w:type="spellEnd"/>
      <w:r>
        <w:t xml:space="preserve"> молекул, содержащих кратную связь углерод-азот, приводит к образованию единственного </w:t>
      </w:r>
      <w:proofErr w:type="spellStart"/>
      <w:r>
        <w:t>карбонил-оксида</w:t>
      </w:r>
      <w:proofErr w:type="spellEnd"/>
      <w:r>
        <w:t>, который можно селективно улавливать сторонним реагентом (Схема 1).</w:t>
      </w:r>
    </w:p>
    <w:p w:rsidR="000001DD" w:rsidRDefault="00A94F0A" w:rsidP="00913428">
      <w:pPr>
        <w:pStyle w:val="afc"/>
        <w:keepNext/>
        <w:spacing w:before="0" w:beforeAutospacing="0" w:after="0" w:afterAutospacing="0"/>
        <w:ind w:firstLine="567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864CE8">
        <w:rPr>
          <w:noProof/>
        </w:rPr>
        <w:pict>
          <v:shape id="_x0000_i0" o:spid="_x0000_i1025" type="#_x0000_t75" style="width:394.15pt;height:115.85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0001DD" w:rsidRDefault="00D404AE" w:rsidP="00913428">
      <w:pPr>
        <w:pStyle w:val="ad"/>
        <w:spacing w:line="240" w:lineRule="auto"/>
        <w:jc w:val="center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Схема </w:t>
      </w:r>
      <w:r w:rsidR="00A94F0A">
        <w:rPr>
          <w:b w:val="0"/>
          <w:bCs w:val="0"/>
          <w:color w:val="000000" w:themeColor="text1"/>
          <w:sz w:val="24"/>
          <w:szCs w:val="24"/>
        </w:rPr>
        <w:fldChar w:fldCharType="begin"/>
      </w:r>
      <w:r>
        <w:rPr>
          <w:b w:val="0"/>
          <w:bCs w:val="0"/>
          <w:color w:val="000000" w:themeColor="text1"/>
          <w:sz w:val="24"/>
          <w:szCs w:val="24"/>
        </w:rPr>
        <w:instrText xml:space="preserve"> SEQ </w:instrText>
      </w:r>
      <w:r>
        <w:rPr>
          <w:b w:val="0"/>
          <w:bCs w:val="0"/>
          <w:color w:val="000000" w:themeColor="text1"/>
          <w:sz w:val="24"/>
          <w:szCs w:val="24"/>
        </w:rPr>
        <w:instrText xml:space="preserve">Схема \* ARABIC </w:instrText>
      </w:r>
      <w:r w:rsidR="00A94F0A">
        <w:rPr>
          <w:b w:val="0"/>
          <w:bCs w:val="0"/>
          <w:color w:val="000000" w:themeColor="text1"/>
          <w:sz w:val="24"/>
          <w:szCs w:val="24"/>
        </w:rPr>
        <w:fldChar w:fldCharType="separate"/>
      </w:r>
      <w:r>
        <w:rPr>
          <w:b w:val="0"/>
          <w:bCs w:val="0"/>
          <w:color w:val="000000" w:themeColor="text1"/>
          <w:sz w:val="24"/>
          <w:szCs w:val="24"/>
        </w:rPr>
        <w:t>1</w:t>
      </w:r>
      <w:r w:rsidR="00A94F0A">
        <w:rPr>
          <w:b w:val="0"/>
          <w:bCs w:val="0"/>
          <w:color w:val="000000" w:themeColor="text1"/>
          <w:sz w:val="24"/>
          <w:szCs w:val="24"/>
        </w:rPr>
        <w:fldChar w:fldCharType="end"/>
      </w:r>
      <w:r>
        <w:rPr>
          <w:b w:val="0"/>
          <w:bCs w:val="0"/>
          <w:color w:val="000000" w:themeColor="text1"/>
          <w:sz w:val="24"/>
          <w:szCs w:val="24"/>
        </w:rPr>
        <w:t xml:space="preserve">.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Озонолиз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семикарбазонов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в присутствии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нуклеофила</w:t>
      </w:r>
      <w:proofErr w:type="spellEnd"/>
    </w:p>
    <w:p w:rsidR="000001DD" w:rsidRDefault="00D404AE" w:rsidP="00864CE8">
      <w:pPr>
        <w:pStyle w:val="afc"/>
        <w:spacing w:before="0" w:beforeAutospacing="0" w:after="0" w:afterAutospacing="0"/>
        <w:ind w:firstLine="397"/>
        <w:jc w:val="both"/>
        <w:rPr>
          <w:color w:val="000000" w:themeColor="text1"/>
          <w:lang/>
        </w:rPr>
      </w:pPr>
      <w:r>
        <w:t xml:space="preserve">В настоящей работе </w:t>
      </w:r>
      <w:r w:rsidR="00E27513">
        <w:t>обнаружено, что</w:t>
      </w:r>
      <w:r>
        <w:t xml:space="preserve"> реакция </w:t>
      </w:r>
      <w:proofErr w:type="spellStart"/>
      <w:r>
        <w:t>озонолиза</w:t>
      </w:r>
      <w:proofErr w:type="spellEnd"/>
      <w:r>
        <w:t xml:space="preserve"> производных карбонильных соединений ‒ </w:t>
      </w:r>
      <w:proofErr w:type="spellStart"/>
      <w:r>
        <w:t>семикарбазонов</w:t>
      </w:r>
      <w:proofErr w:type="spellEnd"/>
      <w:r>
        <w:t xml:space="preserve">, в присутствии </w:t>
      </w:r>
      <w:proofErr w:type="spellStart"/>
      <w:r>
        <w:t>гидропероксидов</w:t>
      </w:r>
      <w:proofErr w:type="spellEnd"/>
      <w:r w:rsidR="001C741D" w:rsidRPr="001C741D">
        <w:t xml:space="preserve"> </w:t>
      </w:r>
      <w:r w:rsidR="001C741D">
        <w:t xml:space="preserve">приводит к </w:t>
      </w:r>
      <w:r w:rsidR="001C741D">
        <w:rPr>
          <w:color w:val="000000" w:themeColor="text1"/>
          <w:lang/>
        </w:rPr>
        <w:t>образованию</w:t>
      </w:r>
      <w:r>
        <w:rPr>
          <w:color w:val="000000" w:themeColor="text1"/>
          <w:lang/>
        </w:rPr>
        <w:t xml:space="preserve"> </w:t>
      </w:r>
      <w:proofErr w:type="spellStart"/>
      <w:r>
        <w:rPr>
          <w:color w:val="000000" w:themeColor="text1"/>
          <w:lang/>
        </w:rPr>
        <w:t>геминальных</w:t>
      </w:r>
      <w:proofErr w:type="spellEnd"/>
      <w:r>
        <w:rPr>
          <w:color w:val="000000" w:themeColor="text1"/>
          <w:lang/>
        </w:rPr>
        <w:t xml:space="preserve"> </w:t>
      </w:r>
      <w:proofErr w:type="spellStart"/>
      <w:r>
        <w:rPr>
          <w:color w:val="000000" w:themeColor="text1"/>
          <w:lang/>
        </w:rPr>
        <w:t>биспероксидов</w:t>
      </w:r>
      <w:proofErr w:type="spellEnd"/>
      <w:r>
        <w:rPr>
          <w:color w:val="000000" w:themeColor="text1"/>
          <w:lang/>
        </w:rPr>
        <w:t xml:space="preserve"> с </w:t>
      </w:r>
      <w:r w:rsidR="001C741D">
        <w:rPr>
          <w:color w:val="000000" w:themeColor="text1"/>
          <w:lang/>
        </w:rPr>
        <w:t>двумя</w:t>
      </w:r>
      <w:r>
        <w:rPr>
          <w:color w:val="000000" w:themeColor="text1"/>
          <w:lang/>
        </w:rPr>
        <w:t xml:space="preserve"> </w:t>
      </w:r>
      <w:r w:rsidR="001C741D">
        <w:rPr>
          <w:color w:val="000000" w:themeColor="text1"/>
          <w:lang/>
        </w:rPr>
        <w:t xml:space="preserve">различными </w:t>
      </w:r>
      <w:proofErr w:type="spellStart"/>
      <w:r>
        <w:rPr>
          <w:color w:val="000000" w:themeColor="text1"/>
          <w:lang/>
        </w:rPr>
        <w:t>пероксидными</w:t>
      </w:r>
      <w:proofErr w:type="spellEnd"/>
      <w:r>
        <w:rPr>
          <w:color w:val="000000" w:themeColor="text1"/>
          <w:lang/>
        </w:rPr>
        <w:t xml:space="preserve"> фрагментами в одной молекуле. Данный трехкомпонентный метод синтеза несимметричных </w:t>
      </w:r>
      <w:proofErr w:type="spellStart"/>
      <w:r>
        <w:rPr>
          <w:color w:val="000000" w:themeColor="text1"/>
          <w:lang/>
        </w:rPr>
        <w:t>биспероксидов</w:t>
      </w:r>
      <w:proofErr w:type="spellEnd"/>
      <w:r>
        <w:rPr>
          <w:color w:val="000000" w:themeColor="text1"/>
          <w:lang/>
        </w:rPr>
        <w:t xml:space="preserve"> из легкодоступных молекул является очень привлекательным и позволяет использовать широкий ряд </w:t>
      </w:r>
      <w:proofErr w:type="spellStart"/>
      <w:r>
        <w:rPr>
          <w:color w:val="000000" w:themeColor="text1"/>
          <w:lang/>
        </w:rPr>
        <w:t>семика</w:t>
      </w:r>
      <w:r>
        <w:rPr>
          <w:color w:val="000000" w:themeColor="text1"/>
          <w:lang/>
        </w:rPr>
        <w:t>рбазонов</w:t>
      </w:r>
      <w:proofErr w:type="spellEnd"/>
      <w:r>
        <w:rPr>
          <w:color w:val="000000" w:themeColor="text1"/>
          <w:lang/>
        </w:rPr>
        <w:t xml:space="preserve"> и </w:t>
      </w:r>
      <w:proofErr w:type="spellStart"/>
      <w:r>
        <w:rPr>
          <w:color w:val="000000" w:themeColor="text1"/>
          <w:lang/>
        </w:rPr>
        <w:t>гидропероксидов</w:t>
      </w:r>
      <w:proofErr w:type="spellEnd"/>
      <w:r>
        <w:rPr>
          <w:color w:val="000000" w:themeColor="text1"/>
          <w:lang/>
        </w:rPr>
        <w:t xml:space="preserve"> в качестве субстратов.</w:t>
      </w:r>
    </w:p>
    <w:p w:rsidR="00913428" w:rsidRDefault="00913428" w:rsidP="00913428">
      <w:pPr>
        <w:pStyle w:val="afc"/>
        <w:spacing w:before="0" w:beforeAutospacing="0" w:after="0" w:afterAutospacing="0"/>
        <w:ind w:firstLine="567"/>
        <w:jc w:val="both"/>
        <w:rPr>
          <w:color w:val="000000" w:themeColor="text1"/>
          <w:lang/>
        </w:rPr>
      </w:pPr>
    </w:p>
    <w:p w:rsidR="00913428" w:rsidRPr="00913428" w:rsidRDefault="00913428" w:rsidP="00913428">
      <w:pPr>
        <w:pStyle w:val="afc"/>
        <w:spacing w:before="0" w:beforeAutospacing="0" w:after="0" w:afterAutospacing="0"/>
        <w:ind w:firstLine="567"/>
        <w:jc w:val="center"/>
        <w:rPr>
          <w:b/>
          <w:bCs/>
          <w:lang/>
        </w:rPr>
      </w:pPr>
      <w:r>
        <w:rPr>
          <w:b/>
          <w:bCs/>
          <w:color w:val="000000" w:themeColor="text1"/>
          <w:lang/>
        </w:rPr>
        <w:t>Литература</w:t>
      </w:r>
    </w:p>
    <w:p w:rsidR="000001DD" w:rsidRPr="00913428" w:rsidRDefault="00D404AE" w:rsidP="00913428">
      <w:pPr>
        <w:rPr>
          <w:color w:val="000000"/>
          <w:lang w:val="en-US"/>
        </w:rPr>
      </w:pPr>
      <w:r w:rsidRPr="00864CE8">
        <w:rPr>
          <w:color w:val="000000"/>
        </w:rPr>
        <w:t xml:space="preserve">[1] </w:t>
      </w:r>
      <w:proofErr w:type="spellStart"/>
      <w:r w:rsidRPr="00913428">
        <w:rPr>
          <w:rFonts w:eastAsia="Arial"/>
          <w:highlight w:val="white"/>
          <w:lang w:val="en-US"/>
        </w:rPr>
        <w:t>Vil</w:t>
      </w:r>
      <w:proofErr w:type="spellEnd"/>
      <w:r w:rsidRPr="00864CE8">
        <w:rPr>
          <w:rFonts w:eastAsia="Arial"/>
          <w:highlight w:val="white"/>
        </w:rPr>
        <w:t xml:space="preserve">’ </w:t>
      </w:r>
      <w:r w:rsidRPr="00913428">
        <w:rPr>
          <w:rFonts w:eastAsia="Arial"/>
          <w:highlight w:val="white"/>
          <w:lang w:val="en-US"/>
        </w:rPr>
        <w:t>V</w:t>
      </w:r>
      <w:r w:rsidRPr="00864CE8">
        <w:rPr>
          <w:rFonts w:eastAsia="Arial"/>
          <w:highlight w:val="white"/>
        </w:rPr>
        <w:t xml:space="preserve">. </w:t>
      </w:r>
      <w:r w:rsidRPr="00913428">
        <w:rPr>
          <w:rFonts w:eastAsia="Arial"/>
          <w:highlight w:val="white"/>
          <w:lang w:val="en-US"/>
        </w:rPr>
        <w:t>A</w:t>
      </w:r>
      <w:r w:rsidRPr="00864CE8">
        <w:rPr>
          <w:rFonts w:eastAsia="Arial"/>
          <w:highlight w:val="white"/>
        </w:rPr>
        <w:t xml:space="preserve">. </w:t>
      </w:r>
      <w:r w:rsidRPr="00913428">
        <w:rPr>
          <w:rFonts w:eastAsia="Arial"/>
          <w:highlight w:val="white"/>
          <w:lang w:val="en-US"/>
        </w:rPr>
        <w:t>et</w:t>
      </w:r>
      <w:r w:rsidRPr="00864CE8">
        <w:rPr>
          <w:rFonts w:eastAsia="Arial"/>
          <w:highlight w:val="white"/>
        </w:rPr>
        <w:t xml:space="preserve"> </w:t>
      </w:r>
      <w:r w:rsidRPr="00913428">
        <w:rPr>
          <w:rFonts w:eastAsia="Arial"/>
          <w:highlight w:val="white"/>
          <w:lang w:val="en-US"/>
        </w:rPr>
        <w:t>al</w:t>
      </w:r>
      <w:r w:rsidRPr="00864CE8">
        <w:rPr>
          <w:rFonts w:eastAsia="Arial"/>
          <w:highlight w:val="white"/>
        </w:rPr>
        <w:t xml:space="preserve">. </w:t>
      </w:r>
      <w:r w:rsidRPr="00913428">
        <w:rPr>
          <w:rFonts w:eastAsia="Arial"/>
          <w:highlight w:val="white"/>
          <w:lang w:val="en-US"/>
        </w:rPr>
        <w:t xml:space="preserve">Peroxides with </w:t>
      </w:r>
      <w:proofErr w:type="spellStart"/>
      <w:r w:rsidRPr="00913428">
        <w:rPr>
          <w:rFonts w:eastAsia="Arial"/>
          <w:highlight w:val="white"/>
          <w:lang w:val="en-US"/>
        </w:rPr>
        <w:t>anthelmintic</w:t>
      </w:r>
      <w:proofErr w:type="spellEnd"/>
      <w:r w:rsidRPr="00913428">
        <w:rPr>
          <w:rFonts w:eastAsia="Arial"/>
          <w:highlight w:val="white"/>
          <w:lang w:val="en-US"/>
        </w:rPr>
        <w:t xml:space="preserve">, </w:t>
      </w:r>
      <w:proofErr w:type="spellStart"/>
      <w:r w:rsidRPr="00913428">
        <w:rPr>
          <w:rFonts w:eastAsia="Arial"/>
          <w:highlight w:val="white"/>
          <w:lang w:val="en-US"/>
        </w:rPr>
        <w:t>antiprotozoal</w:t>
      </w:r>
      <w:proofErr w:type="spellEnd"/>
      <w:r w:rsidRPr="00913428">
        <w:rPr>
          <w:rFonts w:eastAsia="Arial"/>
          <w:highlight w:val="white"/>
          <w:lang w:val="en-US"/>
        </w:rPr>
        <w:t xml:space="preserve">, fungicidal and antiviral bioactivity: properties, synthesis and reactions //Molecules. – 2017. – </w:t>
      </w:r>
      <w:r>
        <w:rPr>
          <w:rFonts w:eastAsia="Arial"/>
          <w:highlight w:val="white"/>
        </w:rPr>
        <w:t>Т</w:t>
      </w:r>
      <w:r w:rsidRPr="00913428">
        <w:rPr>
          <w:rFonts w:eastAsia="Arial"/>
          <w:highlight w:val="white"/>
          <w:lang w:val="en-US"/>
        </w:rPr>
        <w:t xml:space="preserve">. 22. – №. 11. – </w:t>
      </w:r>
      <w:r>
        <w:rPr>
          <w:rFonts w:eastAsia="Arial"/>
          <w:highlight w:val="white"/>
        </w:rPr>
        <w:t>С</w:t>
      </w:r>
      <w:r w:rsidRPr="00913428">
        <w:rPr>
          <w:rFonts w:eastAsia="Arial"/>
          <w:highlight w:val="white"/>
          <w:lang w:val="en-US"/>
        </w:rPr>
        <w:t>. 1881.</w:t>
      </w:r>
    </w:p>
    <w:p w:rsidR="000001DD" w:rsidRPr="00913428" w:rsidRDefault="00D404AE" w:rsidP="00913428">
      <w:pPr>
        <w:rPr>
          <w:color w:val="000000"/>
          <w:lang w:val="en-US"/>
        </w:rPr>
      </w:pPr>
      <w:r w:rsidRPr="00913428">
        <w:rPr>
          <w:color w:val="000000"/>
          <w:lang w:val="en-US"/>
        </w:rPr>
        <w:t xml:space="preserve">[2] </w:t>
      </w:r>
      <w:r w:rsidRPr="00913428">
        <w:rPr>
          <w:rFonts w:eastAsia="Arial"/>
          <w:highlight w:val="white"/>
          <w:lang w:val="en-US"/>
        </w:rPr>
        <w:t xml:space="preserve">Hassan Z. et al. </w:t>
      </w:r>
      <w:proofErr w:type="spellStart"/>
      <w:r w:rsidRPr="00913428">
        <w:rPr>
          <w:rFonts w:eastAsia="Arial"/>
          <w:highlight w:val="white"/>
          <w:lang w:val="en-US"/>
        </w:rPr>
        <w:t>Criegee</w:t>
      </w:r>
      <w:proofErr w:type="spellEnd"/>
      <w:r w:rsidRPr="00913428">
        <w:rPr>
          <w:rFonts w:eastAsia="Arial"/>
          <w:highlight w:val="white"/>
          <w:lang w:val="en-US"/>
        </w:rPr>
        <w:t xml:space="preserve"> intermediates beyond </w:t>
      </w:r>
      <w:proofErr w:type="spellStart"/>
      <w:r w:rsidRPr="00913428">
        <w:rPr>
          <w:rFonts w:eastAsia="Arial"/>
          <w:highlight w:val="white"/>
          <w:lang w:val="en-US"/>
        </w:rPr>
        <w:t>ozonolysis</w:t>
      </w:r>
      <w:proofErr w:type="spellEnd"/>
      <w:r w:rsidRPr="00913428">
        <w:rPr>
          <w:rFonts w:eastAsia="Arial"/>
          <w:highlight w:val="white"/>
          <w:lang w:val="en-US"/>
        </w:rPr>
        <w:t>: Synthetic and mechanistic insights //</w:t>
      </w:r>
      <w:proofErr w:type="spellStart"/>
      <w:r w:rsidRPr="00913428">
        <w:rPr>
          <w:rFonts w:eastAsia="Arial"/>
          <w:color w:val="000000"/>
          <w:lang w:val="en-US"/>
        </w:rPr>
        <w:t>Angew</w:t>
      </w:r>
      <w:proofErr w:type="spellEnd"/>
      <w:r w:rsidRPr="00913428">
        <w:rPr>
          <w:rFonts w:eastAsia="Arial"/>
          <w:color w:val="000000"/>
          <w:lang w:val="en-US"/>
        </w:rPr>
        <w:t>. Chem. Int. Ed</w:t>
      </w:r>
      <w:r w:rsidRPr="00913428">
        <w:rPr>
          <w:rFonts w:eastAsia="Arial"/>
          <w:highlight w:val="white"/>
          <w:lang w:val="en-US"/>
        </w:rPr>
        <w:t xml:space="preserve">. – 2021. – </w:t>
      </w:r>
      <w:r>
        <w:rPr>
          <w:rFonts w:eastAsia="Arial"/>
          <w:highlight w:val="white"/>
        </w:rPr>
        <w:t>Т</w:t>
      </w:r>
      <w:r w:rsidRPr="00913428">
        <w:rPr>
          <w:rFonts w:eastAsia="Arial"/>
          <w:highlight w:val="white"/>
          <w:lang w:val="en-US"/>
        </w:rPr>
        <w:t xml:space="preserve">. 60. – №. 28. – </w:t>
      </w:r>
      <w:r>
        <w:rPr>
          <w:rFonts w:eastAsia="Arial"/>
          <w:highlight w:val="white"/>
        </w:rPr>
        <w:t>С</w:t>
      </w:r>
      <w:r w:rsidRPr="00913428">
        <w:rPr>
          <w:rFonts w:eastAsia="Arial"/>
          <w:highlight w:val="white"/>
          <w:lang w:val="en-US"/>
        </w:rPr>
        <w:t>. 15138-15152.</w:t>
      </w:r>
    </w:p>
    <w:sectPr w:rsidR="000001DD" w:rsidRPr="00913428" w:rsidSect="00A94F0A">
      <w:pgSz w:w="11906" w:h="16838"/>
      <w:pgMar w:top="1134" w:right="1361" w:bottom="1134" w:left="136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4AE" w:rsidRDefault="00D404AE">
      <w:r>
        <w:separator/>
      </w:r>
    </w:p>
  </w:endnote>
  <w:endnote w:type="continuationSeparator" w:id="0">
    <w:p w:rsidR="00D404AE" w:rsidRDefault="00D40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4AE" w:rsidRDefault="00D404AE">
      <w:r>
        <w:separator/>
      </w:r>
    </w:p>
  </w:footnote>
  <w:footnote w:type="continuationSeparator" w:id="0">
    <w:p w:rsidR="00D404AE" w:rsidRDefault="00D404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84BA0"/>
    <w:multiLevelType w:val="hybridMultilevel"/>
    <w:tmpl w:val="E6ECA17C"/>
    <w:lvl w:ilvl="0" w:tplc="94760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2E8A7A">
      <w:start w:val="1"/>
      <w:numFmt w:val="lowerLetter"/>
      <w:lvlText w:val="%2."/>
      <w:lvlJc w:val="left"/>
      <w:pPr>
        <w:ind w:left="1440" w:hanging="360"/>
      </w:pPr>
    </w:lvl>
    <w:lvl w:ilvl="2" w:tplc="15388640">
      <w:start w:val="1"/>
      <w:numFmt w:val="lowerRoman"/>
      <w:lvlText w:val="%3."/>
      <w:lvlJc w:val="right"/>
      <w:pPr>
        <w:ind w:left="2160" w:hanging="180"/>
      </w:pPr>
    </w:lvl>
    <w:lvl w:ilvl="3" w:tplc="DF14B248">
      <w:start w:val="1"/>
      <w:numFmt w:val="decimal"/>
      <w:lvlText w:val="%4."/>
      <w:lvlJc w:val="left"/>
      <w:pPr>
        <w:ind w:left="2880" w:hanging="360"/>
      </w:pPr>
    </w:lvl>
    <w:lvl w:ilvl="4" w:tplc="0D3ACE8C">
      <w:start w:val="1"/>
      <w:numFmt w:val="lowerLetter"/>
      <w:lvlText w:val="%5."/>
      <w:lvlJc w:val="left"/>
      <w:pPr>
        <w:ind w:left="3600" w:hanging="360"/>
      </w:pPr>
    </w:lvl>
    <w:lvl w:ilvl="5" w:tplc="60040DA2">
      <w:start w:val="1"/>
      <w:numFmt w:val="lowerRoman"/>
      <w:lvlText w:val="%6."/>
      <w:lvlJc w:val="right"/>
      <w:pPr>
        <w:ind w:left="4320" w:hanging="180"/>
      </w:pPr>
    </w:lvl>
    <w:lvl w:ilvl="6" w:tplc="3F9CB9D4">
      <w:start w:val="1"/>
      <w:numFmt w:val="decimal"/>
      <w:lvlText w:val="%7."/>
      <w:lvlJc w:val="left"/>
      <w:pPr>
        <w:ind w:left="5040" w:hanging="360"/>
      </w:pPr>
    </w:lvl>
    <w:lvl w:ilvl="7" w:tplc="70AE60DE">
      <w:start w:val="1"/>
      <w:numFmt w:val="lowerLetter"/>
      <w:lvlText w:val="%8."/>
      <w:lvlJc w:val="left"/>
      <w:pPr>
        <w:ind w:left="5760" w:hanging="360"/>
      </w:pPr>
    </w:lvl>
    <w:lvl w:ilvl="8" w:tplc="7A0CB1B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7489E"/>
    <w:multiLevelType w:val="hybridMultilevel"/>
    <w:tmpl w:val="414424CC"/>
    <w:lvl w:ilvl="0" w:tplc="1354BCCC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74D20D78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F45633D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4DE4B758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DB02A68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62FE19EA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9B6E693A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72046002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9672015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1DD"/>
    <w:rsid w:val="000001DD"/>
    <w:rsid w:val="00146F1C"/>
    <w:rsid w:val="001C741D"/>
    <w:rsid w:val="004644F6"/>
    <w:rsid w:val="00864CE8"/>
    <w:rsid w:val="00913428"/>
    <w:rsid w:val="009A0B00"/>
    <w:rsid w:val="00A94F0A"/>
    <w:rsid w:val="00CE797E"/>
    <w:rsid w:val="00D404AE"/>
    <w:rsid w:val="00E27513"/>
    <w:rsid w:val="00F24DEA"/>
    <w:rsid w:val="00F3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0A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4F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F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F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F0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F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F0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A94F0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94F0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94F0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94F0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94F0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94F0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94F0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A94F0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94F0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A94F0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A94F0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A94F0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A94F0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94F0A"/>
    <w:rPr>
      <w:sz w:val="24"/>
      <w:szCs w:val="24"/>
    </w:rPr>
  </w:style>
  <w:style w:type="character" w:customStyle="1" w:styleId="QuoteChar">
    <w:name w:val="Quote Char"/>
    <w:uiPriority w:val="29"/>
    <w:rsid w:val="00A94F0A"/>
    <w:rPr>
      <w:i/>
    </w:rPr>
  </w:style>
  <w:style w:type="character" w:customStyle="1" w:styleId="IntenseQuoteChar">
    <w:name w:val="Intense Quote Char"/>
    <w:uiPriority w:val="30"/>
    <w:rsid w:val="00A94F0A"/>
    <w:rPr>
      <w:i/>
    </w:rPr>
  </w:style>
  <w:style w:type="character" w:customStyle="1" w:styleId="HeaderChar">
    <w:name w:val="Header Char"/>
    <w:basedOn w:val="a0"/>
    <w:uiPriority w:val="99"/>
    <w:rsid w:val="00A94F0A"/>
  </w:style>
  <w:style w:type="character" w:customStyle="1" w:styleId="CaptionChar">
    <w:name w:val="Caption Char"/>
    <w:uiPriority w:val="99"/>
    <w:rsid w:val="00A94F0A"/>
  </w:style>
  <w:style w:type="character" w:customStyle="1" w:styleId="FootnoteTextChar">
    <w:name w:val="Footnote Text Char"/>
    <w:uiPriority w:val="99"/>
    <w:rsid w:val="00A94F0A"/>
    <w:rPr>
      <w:sz w:val="18"/>
    </w:rPr>
  </w:style>
  <w:style w:type="character" w:customStyle="1" w:styleId="EndnoteTextChar">
    <w:name w:val="Endnote Text Char"/>
    <w:uiPriority w:val="99"/>
    <w:rsid w:val="00A94F0A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A94F0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94F0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94F0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94F0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94F0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94F0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94F0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94F0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94F0A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sid w:val="00A94F0A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sid w:val="00A94F0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94F0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94F0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A94F0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A94F0A"/>
    <w:rPr>
      <w:i/>
    </w:rPr>
  </w:style>
  <w:style w:type="paragraph" w:styleId="a9">
    <w:name w:val="header"/>
    <w:basedOn w:val="a"/>
    <w:link w:val="aa"/>
    <w:uiPriority w:val="99"/>
    <w:unhideWhenUsed/>
    <w:rsid w:val="00A94F0A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4F0A"/>
  </w:style>
  <w:style w:type="paragraph" w:styleId="ab">
    <w:name w:val="footer"/>
    <w:basedOn w:val="a"/>
    <w:link w:val="ac"/>
    <w:uiPriority w:val="99"/>
    <w:unhideWhenUsed/>
    <w:rsid w:val="00A94F0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94F0A"/>
  </w:style>
  <w:style w:type="paragraph" w:styleId="ad">
    <w:name w:val="caption"/>
    <w:basedOn w:val="a"/>
    <w:next w:val="a"/>
    <w:uiPriority w:val="35"/>
    <w:unhideWhenUsed/>
    <w:qFormat/>
    <w:rsid w:val="00A94F0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A94F0A"/>
  </w:style>
  <w:style w:type="table" w:styleId="ae">
    <w:name w:val="Table Grid"/>
    <w:basedOn w:val="a1"/>
    <w:uiPriority w:val="59"/>
    <w:rsid w:val="00A94F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94F0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94F0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94F0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94F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94F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94F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94F0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94F0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94F0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94F0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94F0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94F0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94F0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94F0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94F0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94F0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94F0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94F0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94F0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94F0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94F0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94F0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94F0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94F0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94F0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94F0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94F0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94F0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94F0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94F0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94F0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94F0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94F0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94F0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94F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94F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94F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94F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94F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94F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94F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94F0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94F0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94F0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94F0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94F0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94F0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94F0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94F0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94F0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94F0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94F0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94F0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94F0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94F0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94F0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94F0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94F0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94F0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94F0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94F0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94F0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94F0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A94F0A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A94F0A"/>
    <w:rPr>
      <w:sz w:val="18"/>
    </w:rPr>
  </w:style>
  <w:style w:type="character" w:styleId="af1">
    <w:name w:val="footnote reference"/>
    <w:basedOn w:val="a0"/>
    <w:uiPriority w:val="99"/>
    <w:unhideWhenUsed/>
    <w:rsid w:val="00A94F0A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A94F0A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A94F0A"/>
    <w:rPr>
      <w:sz w:val="20"/>
    </w:rPr>
  </w:style>
  <w:style w:type="character" w:styleId="af4">
    <w:name w:val="endnote reference"/>
    <w:basedOn w:val="a0"/>
    <w:uiPriority w:val="99"/>
    <w:semiHidden/>
    <w:unhideWhenUsed/>
    <w:rsid w:val="00A94F0A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94F0A"/>
    <w:pPr>
      <w:spacing w:after="57"/>
    </w:pPr>
  </w:style>
  <w:style w:type="paragraph" w:styleId="23">
    <w:name w:val="toc 2"/>
    <w:basedOn w:val="a"/>
    <w:next w:val="a"/>
    <w:uiPriority w:val="39"/>
    <w:unhideWhenUsed/>
    <w:rsid w:val="00A94F0A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94F0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94F0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94F0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94F0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94F0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94F0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94F0A"/>
    <w:pPr>
      <w:spacing w:after="57"/>
      <w:ind w:left="2268"/>
    </w:pPr>
  </w:style>
  <w:style w:type="paragraph" w:styleId="af5">
    <w:name w:val="TOC Heading"/>
    <w:uiPriority w:val="39"/>
    <w:unhideWhenUsed/>
    <w:rsid w:val="00A94F0A"/>
  </w:style>
  <w:style w:type="paragraph" w:styleId="af6">
    <w:name w:val="table of figures"/>
    <w:basedOn w:val="a"/>
    <w:next w:val="a"/>
    <w:uiPriority w:val="99"/>
    <w:unhideWhenUsed/>
    <w:rsid w:val="00A94F0A"/>
  </w:style>
  <w:style w:type="table" w:customStyle="1" w:styleId="TableNormal">
    <w:name w:val="Table Normal"/>
    <w:rsid w:val="00A94F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3"/>
    <w:uiPriority w:val="10"/>
    <w:qFormat/>
    <w:rsid w:val="00A94F0A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Subtitle"/>
    <w:basedOn w:val="a"/>
    <w:next w:val="a"/>
    <w:link w:val="a5"/>
    <w:uiPriority w:val="11"/>
    <w:qFormat/>
    <w:rsid w:val="00A94F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7">
    <w:name w:val="List Paragraph"/>
    <w:basedOn w:val="a"/>
    <w:link w:val="af8"/>
    <w:uiPriority w:val="34"/>
    <w:qFormat/>
    <w:rsid w:val="00A94F0A"/>
    <w:pPr>
      <w:ind w:left="720"/>
      <w:contextualSpacing/>
    </w:pPr>
  </w:style>
  <w:style w:type="character" w:customStyle="1" w:styleId="af8">
    <w:name w:val="Абзац списка Знак"/>
    <w:basedOn w:val="a0"/>
    <w:link w:val="af7"/>
    <w:uiPriority w:val="34"/>
    <w:rsid w:val="00A94F0A"/>
  </w:style>
  <w:style w:type="character" w:styleId="af9">
    <w:name w:val="Placeholder Text"/>
    <w:basedOn w:val="a0"/>
    <w:uiPriority w:val="99"/>
    <w:semiHidden/>
    <w:rsid w:val="00A94F0A"/>
    <w:rPr>
      <w:color w:val="808080"/>
    </w:rPr>
  </w:style>
  <w:style w:type="paragraph" w:styleId="afa">
    <w:name w:val="No Spacing"/>
    <w:uiPriority w:val="1"/>
    <w:qFormat/>
    <w:rsid w:val="00A94F0A"/>
    <w:rPr>
      <w:rFonts w:cs="Times New Roman"/>
      <w:sz w:val="22"/>
      <w:szCs w:val="22"/>
      <w:lang w:val="en-US" w:eastAsia="en-US" w:bidi="en-US"/>
    </w:rPr>
  </w:style>
  <w:style w:type="character" w:styleId="afb">
    <w:name w:val="Hyperlink"/>
    <w:basedOn w:val="a0"/>
    <w:uiPriority w:val="99"/>
    <w:unhideWhenUsed/>
    <w:rsid w:val="00A94F0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4F0A"/>
    <w:rPr>
      <w:color w:val="605E5C"/>
      <w:shd w:val="clear" w:color="auto" w:fill="E1DFDD"/>
    </w:rPr>
  </w:style>
  <w:style w:type="paragraph" w:styleId="afc">
    <w:name w:val="Normal (Web)"/>
    <w:basedOn w:val="a"/>
    <w:uiPriority w:val="99"/>
    <w:unhideWhenUsed/>
    <w:rsid w:val="00A94F0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4F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shasliguzov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A8089E-FD42-47CD-9241-1F0BC3770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Budekhin</dc:creator>
  <cp:lastModifiedBy>Tatiana Dubinina</cp:lastModifiedBy>
  <cp:revision>2</cp:revision>
  <dcterms:created xsi:type="dcterms:W3CDTF">2024-03-10T12:55:00Z</dcterms:created>
  <dcterms:modified xsi:type="dcterms:W3CDTF">2024-03-10T12:55:00Z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