
<file path=[Content_Types].xml><?xml version="1.0" encoding="utf-8"?>
<Types xmlns="http://schemas.openxmlformats.org/package/2006/content-types">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3E" w:rsidRDefault="002B3AD0">
      <w:pPr>
        <w:pBdr>
          <w:top w:val="nil"/>
          <w:left w:val="nil"/>
          <w:bottom w:val="nil"/>
          <w:right w:val="nil"/>
          <w:between w:val="nil"/>
        </w:pBd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Получение </w:t>
      </w:r>
      <w:proofErr w:type="gramStart"/>
      <w:r>
        <w:rPr>
          <w:rFonts w:ascii="Times New Roman" w:eastAsia="Times New Roman" w:hAnsi="Times New Roman" w:cs="Times New Roman"/>
          <w:b/>
          <w:color w:val="000000"/>
          <w:sz w:val="24"/>
          <w:szCs w:val="24"/>
        </w:rPr>
        <w:t>новых</w:t>
      </w:r>
      <w:proofErr w:type="gram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гетеробивалентных</w:t>
      </w:r>
      <w:proofErr w:type="spellEnd"/>
      <w:r>
        <w:rPr>
          <w:rFonts w:ascii="Times New Roman" w:eastAsia="Times New Roman" w:hAnsi="Times New Roman" w:cs="Times New Roman"/>
          <w:b/>
          <w:color w:val="000000"/>
          <w:sz w:val="24"/>
          <w:szCs w:val="24"/>
        </w:rPr>
        <w:t xml:space="preserve"> полипептидных </w:t>
      </w:r>
      <w:proofErr w:type="spellStart"/>
      <w:r>
        <w:rPr>
          <w:rFonts w:ascii="Times New Roman" w:eastAsia="Times New Roman" w:hAnsi="Times New Roman" w:cs="Times New Roman"/>
          <w:b/>
          <w:color w:val="000000"/>
          <w:sz w:val="24"/>
          <w:szCs w:val="24"/>
        </w:rPr>
        <w:t>конъюгатов</w:t>
      </w:r>
      <w:proofErr w:type="spellEnd"/>
      <w:r>
        <w:rPr>
          <w:rFonts w:ascii="Times New Roman" w:eastAsia="Times New Roman" w:hAnsi="Times New Roman" w:cs="Times New Roman"/>
          <w:b/>
          <w:color w:val="000000"/>
          <w:sz w:val="24"/>
          <w:szCs w:val="24"/>
        </w:rPr>
        <w:t xml:space="preserve"> для диагностики рака предстательной железы</w:t>
      </w:r>
      <w:bookmarkStart w:id="0" w:name="_Hlk33537326"/>
      <w:bookmarkStart w:id="1" w:name="_GoBack"/>
      <w:bookmarkEnd w:id="1"/>
    </w:p>
    <w:p w:rsidR="00223A16" w:rsidRDefault="001F156C">
      <w:pPr>
        <w:pBdr>
          <w:top w:val="nil"/>
          <w:left w:val="nil"/>
          <w:bottom w:val="nil"/>
          <w:right w:val="nil"/>
          <w:between w:val="nil"/>
        </w:pBdr>
        <w:shd w:val="clear" w:color="auto" w:fill="FFFFFF"/>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Григорьев</w:t>
      </w:r>
      <w:r w:rsidR="00CF6D8E" w:rsidRPr="00FE6961">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Г</w:t>
      </w:r>
      <w:r w:rsidR="00CF6D8E" w:rsidRPr="00FE6961">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rPr>
        <w:t>П</w:t>
      </w:r>
      <w:r w:rsidR="00CF6D8E" w:rsidRPr="00FE6961">
        <w:rPr>
          <w:rFonts w:ascii="Times New Roman" w:eastAsia="Times New Roman" w:hAnsi="Times New Roman" w:cs="Times New Roman"/>
          <w:b/>
          <w:i/>
          <w:color w:val="000000"/>
          <w:sz w:val="24"/>
          <w:szCs w:val="24"/>
        </w:rPr>
        <w:t>.</w:t>
      </w:r>
      <w:r w:rsidR="00CF6D8E" w:rsidRPr="00CF6D8E">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Петров С.А</w:t>
      </w:r>
      <w:r w:rsidR="00E470CD" w:rsidRPr="0031700C">
        <w:rPr>
          <w:rFonts w:ascii="Times New Roman" w:eastAsia="Times New Roman" w:hAnsi="Times New Roman" w:cs="Times New Roman"/>
          <w:b/>
          <w:i/>
          <w:color w:val="000000"/>
          <w:sz w:val="24"/>
          <w:szCs w:val="24"/>
        </w:rPr>
        <w:t>.</w:t>
      </w:r>
    </w:p>
    <w:p w:rsidR="00CF6D8E" w:rsidRPr="000C3C8F" w:rsidRDefault="001F156C" w:rsidP="00CF6D8E">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Студент</w:t>
      </w:r>
      <w:r w:rsidR="00CF6D8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6</w:t>
      </w:r>
      <w:r w:rsidR="00CF6D8E">
        <w:rPr>
          <w:rFonts w:ascii="Times New Roman" w:eastAsia="Times New Roman" w:hAnsi="Times New Roman" w:cs="Times New Roman"/>
          <w:i/>
          <w:color w:val="000000"/>
          <w:sz w:val="24"/>
          <w:szCs w:val="24"/>
        </w:rPr>
        <w:t xml:space="preserve"> курс</w:t>
      </w:r>
      <w:r w:rsidR="000C3C8F" w:rsidRPr="00BD32F0">
        <w:rPr>
          <w:rFonts w:ascii="Times New Roman" w:eastAsia="Times New Roman" w:hAnsi="Times New Roman" w:cs="Times New Roman"/>
          <w:i/>
          <w:color w:val="000000"/>
          <w:sz w:val="24"/>
          <w:szCs w:val="24"/>
        </w:rPr>
        <w:t xml:space="preserve"> </w:t>
      </w:r>
      <w:proofErr w:type="spellStart"/>
      <w:r w:rsidR="000C3C8F">
        <w:rPr>
          <w:rFonts w:ascii="Times New Roman" w:eastAsia="Times New Roman" w:hAnsi="Times New Roman" w:cs="Times New Roman"/>
          <w:i/>
          <w:color w:val="000000"/>
          <w:sz w:val="24"/>
          <w:szCs w:val="24"/>
        </w:rPr>
        <w:t>специалитета</w:t>
      </w:r>
      <w:proofErr w:type="spellEnd"/>
    </w:p>
    <w:p w:rsidR="00CC43F0" w:rsidRDefault="003045F4">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bookmarkStart w:id="2" w:name="_Hlk33537385"/>
      <w:bookmarkEnd w:id="0"/>
      <w:r>
        <w:rPr>
          <w:rFonts w:ascii="Times New Roman" w:eastAsia="Times New Roman" w:hAnsi="Times New Roman" w:cs="Times New Roman"/>
          <w:i/>
          <w:color w:val="000000"/>
          <w:sz w:val="24"/>
          <w:szCs w:val="24"/>
        </w:rPr>
        <w:t>Московский государственный университет имени М.В.Ломоносова, </w:t>
      </w:r>
    </w:p>
    <w:p w:rsidR="00CC43F0" w:rsidRDefault="00E470CD" w:rsidP="00FE6961">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Химический факультет</w:t>
      </w:r>
      <w:r w:rsidR="003045F4">
        <w:rPr>
          <w:rFonts w:ascii="Times New Roman" w:eastAsia="Times New Roman" w:hAnsi="Times New Roman" w:cs="Times New Roman"/>
          <w:i/>
          <w:color w:val="000000"/>
          <w:sz w:val="24"/>
          <w:szCs w:val="24"/>
        </w:rPr>
        <w:t>, Москва, Россия</w:t>
      </w:r>
    </w:p>
    <w:p w:rsidR="00CC43F0" w:rsidRPr="001F1375" w:rsidRDefault="003045F4">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sidRPr="00FE6961">
        <w:rPr>
          <w:rFonts w:ascii="Times New Roman" w:eastAsia="Times New Roman" w:hAnsi="Times New Roman" w:cs="Times New Roman"/>
          <w:i/>
          <w:color w:val="000000"/>
          <w:sz w:val="24"/>
          <w:szCs w:val="24"/>
          <w:lang w:val="en-US"/>
        </w:rPr>
        <w:t>E</w:t>
      </w:r>
      <w:r w:rsidRPr="001F1375">
        <w:rPr>
          <w:rFonts w:ascii="Times New Roman" w:eastAsia="Times New Roman" w:hAnsi="Times New Roman" w:cs="Times New Roman"/>
          <w:i/>
          <w:color w:val="000000"/>
          <w:sz w:val="24"/>
          <w:szCs w:val="24"/>
        </w:rPr>
        <w:t>–</w:t>
      </w:r>
      <w:r w:rsidRPr="00FE6961">
        <w:rPr>
          <w:rFonts w:ascii="Times New Roman" w:eastAsia="Times New Roman" w:hAnsi="Times New Roman" w:cs="Times New Roman"/>
          <w:i/>
          <w:color w:val="000000"/>
          <w:sz w:val="24"/>
          <w:szCs w:val="24"/>
          <w:lang w:val="en-US"/>
        </w:rPr>
        <w:t>mail</w:t>
      </w:r>
      <w:r w:rsidRPr="001F1375">
        <w:rPr>
          <w:rFonts w:ascii="Times New Roman" w:eastAsia="Times New Roman" w:hAnsi="Times New Roman" w:cs="Times New Roman"/>
          <w:i/>
          <w:color w:val="000000"/>
          <w:sz w:val="24"/>
          <w:szCs w:val="24"/>
        </w:rPr>
        <w:t>:</w:t>
      </w:r>
      <w:r w:rsidR="00CF6D8E" w:rsidRPr="001F1375">
        <w:t xml:space="preserve"> </w:t>
      </w:r>
      <w:proofErr w:type="spellStart"/>
      <w:r w:rsidR="001F156C" w:rsidRPr="00410768">
        <w:rPr>
          <w:rFonts w:ascii="Times New Roman" w:hAnsi="Times New Roman" w:cs="Times New Roman"/>
          <w:i/>
          <w:sz w:val="24"/>
          <w:szCs w:val="24"/>
          <w:u w:val="single"/>
          <w:lang w:val="en-US"/>
        </w:rPr>
        <w:t>gleb</w:t>
      </w:r>
      <w:proofErr w:type="spellEnd"/>
      <w:r w:rsidR="001F156C" w:rsidRPr="00410768">
        <w:rPr>
          <w:rFonts w:ascii="Times New Roman" w:hAnsi="Times New Roman" w:cs="Times New Roman"/>
          <w:i/>
          <w:sz w:val="24"/>
          <w:szCs w:val="24"/>
          <w:u w:val="single"/>
        </w:rPr>
        <w:t>.</w:t>
      </w:r>
      <w:proofErr w:type="spellStart"/>
      <w:r w:rsidR="001F156C" w:rsidRPr="00410768">
        <w:rPr>
          <w:rFonts w:ascii="Times New Roman" w:hAnsi="Times New Roman" w:cs="Times New Roman"/>
          <w:i/>
          <w:sz w:val="24"/>
          <w:szCs w:val="24"/>
          <w:u w:val="single"/>
          <w:lang w:val="en-US"/>
        </w:rPr>
        <w:t>grigorev</w:t>
      </w:r>
      <w:proofErr w:type="spellEnd"/>
      <w:r w:rsidR="001F156C" w:rsidRPr="00410768">
        <w:rPr>
          <w:rFonts w:ascii="Times New Roman" w:hAnsi="Times New Roman" w:cs="Times New Roman"/>
          <w:i/>
          <w:sz w:val="24"/>
          <w:szCs w:val="24"/>
          <w:u w:val="single"/>
        </w:rPr>
        <w:t>@</w:t>
      </w:r>
      <w:r w:rsidR="001F156C" w:rsidRPr="00410768">
        <w:rPr>
          <w:rFonts w:ascii="Times New Roman" w:hAnsi="Times New Roman" w:cs="Times New Roman"/>
          <w:i/>
          <w:sz w:val="24"/>
          <w:szCs w:val="24"/>
          <w:u w:val="single"/>
          <w:lang w:val="en-US"/>
        </w:rPr>
        <w:t>chemistry</w:t>
      </w:r>
      <w:r w:rsidR="001F156C" w:rsidRPr="00410768">
        <w:rPr>
          <w:rFonts w:ascii="Times New Roman" w:hAnsi="Times New Roman" w:cs="Times New Roman"/>
          <w:i/>
          <w:sz w:val="24"/>
          <w:szCs w:val="24"/>
          <w:u w:val="single"/>
        </w:rPr>
        <w:t>.</w:t>
      </w:r>
      <w:proofErr w:type="spellStart"/>
      <w:r w:rsidR="001F156C" w:rsidRPr="00410768">
        <w:rPr>
          <w:rFonts w:ascii="Times New Roman" w:hAnsi="Times New Roman" w:cs="Times New Roman"/>
          <w:i/>
          <w:sz w:val="24"/>
          <w:szCs w:val="24"/>
          <w:u w:val="single"/>
          <w:lang w:val="en-US"/>
        </w:rPr>
        <w:t>msu</w:t>
      </w:r>
      <w:proofErr w:type="spellEnd"/>
      <w:r w:rsidR="001F156C" w:rsidRPr="00410768">
        <w:rPr>
          <w:rFonts w:ascii="Times New Roman" w:hAnsi="Times New Roman" w:cs="Times New Roman"/>
          <w:i/>
          <w:sz w:val="24"/>
          <w:szCs w:val="24"/>
          <w:u w:val="single"/>
        </w:rPr>
        <w:t>.</w:t>
      </w:r>
      <w:proofErr w:type="spellStart"/>
      <w:r w:rsidR="001F156C" w:rsidRPr="00410768">
        <w:rPr>
          <w:rFonts w:ascii="Times New Roman" w:hAnsi="Times New Roman" w:cs="Times New Roman"/>
          <w:i/>
          <w:sz w:val="24"/>
          <w:szCs w:val="24"/>
          <w:u w:val="single"/>
          <w:lang w:val="en-US"/>
        </w:rPr>
        <w:t>ru</w:t>
      </w:r>
      <w:proofErr w:type="spellEnd"/>
    </w:p>
    <w:bookmarkEnd w:id="2"/>
    <w:p w:rsidR="00FE6961" w:rsidRPr="00FE6961" w:rsidRDefault="003C761D" w:rsidP="00410768">
      <w:pPr>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sidRPr="003C761D">
        <w:rPr>
          <w:rFonts w:ascii="Times New Roman" w:hAnsi="Times New Roman" w:cs="Times New Roman"/>
          <w:sz w:val="24"/>
          <w:szCs w:val="24"/>
        </w:rPr>
        <w:t>В настоящее время, разработка новых лекарственных препаратов для борьбы с онкологическими заболеваниями – это одна из главных задач в мире. Рак предстательной железы (РПЖ) находится на втором месте по заболеваемости и на пятом по смертности среди мужчин. Современные методы лечение и диагностики РПЖ имеют ряд недостатков такие как: послеоперационные осложнения, расстройства гормонального фона, низкая селективность и достоверность результатов</w:t>
      </w:r>
      <w:r w:rsidR="00FE6961" w:rsidRPr="00FE6961">
        <w:rPr>
          <w:rFonts w:ascii="Times New Roman" w:eastAsia="Times New Roman" w:hAnsi="Times New Roman" w:cs="Times New Roman"/>
          <w:color w:val="000000"/>
          <w:sz w:val="24"/>
          <w:szCs w:val="24"/>
        </w:rPr>
        <w:t>.</w:t>
      </w:r>
    </w:p>
    <w:p w:rsidR="007135FA" w:rsidRDefault="00173148" w:rsidP="003045F4">
      <w:pPr>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sidRPr="00173148">
        <w:rPr>
          <w:rFonts w:ascii="Times New Roman" w:hAnsi="Times New Roman" w:cs="Times New Roman"/>
          <w:sz w:val="24"/>
          <w:szCs w:val="24"/>
        </w:rPr>
        <w:t>Решить данную проблему помогает концепция адресной доставки, которая заключается в направленном транспорте лекарственного вещест</w:t>
      </w:r>
      <w:r>
        <w:rPr>
          <w:rFonts w:ascii="Times New Roman" w:hAnsi="Times New Roman" w:cs="Times New Roman"/>
          <w:sz w:val="24"/>
          <w:szCs w:val="24"/>
        </w:rPr>
        <w:t>ва в заданную область организма</w:t>
      </w:r>
      <w:r w:rsidR="00FF1AC9" w:rsidRPr="00173148">
        <w:rPr>
          <w:rFonts w:ascii="Times New Roman" w:eastAsia="Times New Roman" w:hAnsi="Times New Roman" w:cs="Times New Roman"/>
          <w:color w:val="000000"/>
          <w:sz w:val="24"/>
          <w:szCs w:val="24"/>
        </w:rPr>
        <w:t>.</w:t>
      </w:r>
      <w:r w:rsidRPr="00173148">
        <w:rPr>
          <w:rFonts w:ascii="Times New Roman" w:eastAsia="Times New Roman" w:hAnsi="Times New Roman" w:cs="Times New Roman"/>
          <w:color w:val="000000"/>
          <w:sz w:val="24"/>
          <w:szCs w:val="24"/>
        </w:rPr>
        <w:t xml:space="preserve"> </w:t>
      </w:r>
      <w:r w:rsidR="00DE6807">
        <w:rPr>
          <w:rFonts w:ascii="Times New Roman" w:eastAsia="Times New Roman" w:hAnsi="Times New Roman" w:cs="Times New Roman"/>
          <w:color w:val="000000"/>
          <w:sz w:val="24"/>
          <w:szCs w:val="24"/>
        </w:rPr>
        <w:t xml:space="preserve">Для осуществления данного подхода необходимо выбрать мишени </w:t>
      </w:r>
      <w:r w:rsidR="00BE0D98">
        <w:rPr>
          <w:rFonts w:ascii="Times New Roman" w:eastAsia="Times New Roman" w:hAnsi="Times New Roman" w:cs="Times New Roman"/>
          <w:color w:val="000000"/>
          <w:sz w:val="24"/>
          <w:szCs w:val="24"/>
        </w:rPr>
        <w:t>активно</w:t>
      </w:r>
      <w:r w:rsidR="00DE6807">
        <w:rPr>
          <w:rFonts w:ascii="Times New Roman" w:eastAsia="Times New Roman" w:hAnsi="Times New Roman" w:cs="Times New Roman"/>
          <w:color w:val="000000"/>
          <w:sz w:val="24"/>
          <w:szCs w:val="24"/>
        </w:rPr>
        <w:t xml:space="preserve"> </w:t>
      </w:r>
      <w:proofErr w:type="spellStart"/>
      <w:r w:rsidR="00FA2813" w:rsidRPr="004E767F">
        <w:rPr>
          <w:rFonts w:ascii="Times New Roman" w:eastAsia="Times New Roman" w:hAnsi="Times New Roman" w:cs="Times New Roman"/>
          <w:color w:val="000000"/>
          <w:sz w:val="24"/>
          <w:szCs w:val="24"/>
        </w:rPr>
        <w:t>экспрес</w:t>
      </w:r>
      <w:r w:rsidR="004E767F" w:rsidRPr="004E767F">
        <w:rPr>
          <w:rFonts w:ascii="Times New Roman" w:eastAsia="Times New Roman" w:hAnsi="Times New Roman" w:cs="Times New Roman"/>
          <w:color w:val="000000"/>
          <w:sz w:val="24"/>
          <w:szCs w:val="24"/>
        </w:rPr>
        <w:t>с</w:t>
      </w:r>
      <w:r w:rsidR="00DE6807" w:rsidRPr="004E767F">
        <w:rPr>
          <w:rFonts w:ascii="Times New Roman" w:eastAsia="Times New Roman" w:hAnsi="Times New Roman" w:cs="Times New Roman"/>
          <w:color w:val="000000"/>
          <w:sz w:val="24"/>
          <w:szCs w:val="24"/>
        </w:rPr>
        <w:t>ирующие</w:t>
      </w:r>
      <w:proofErr w:type="spellEnd"/>
      <w:r w:rsidR="00DE6807">
        <w:rPr>
          <w:rFonts w:ascii="Times New Roman" w:eastAsia="Times New Roman" w:hAnsi="Times New Roman" w:cs="Times New Roman"/>
          <w:color w:val="000000"/>
          <w:sz w:val="24"/>
          <w:szCs w:val="24"/>
        </w:rPr>
        <w:t xml:space="preserve"> при РПЖ и разработать лиганды для селективного связывания с ними.</w:t>
      </w:r>
    </w:p>
    <w:p w:rsidR="00FC0036" w:rsidRDefault="00E37057" w:rsidP="003045F4">
      <w:pPr>
        <w:pBdr>
          <w:top w:val="nil"/>
          <w:left w:val="nil"/>
          <w:bottom w:val="nil"/>
          <w:right w:val="nil"/>
          <w:between w:val="nil"/>
        </w:pBdr>
        <w:shd w:val="clear" w:color="auto" w:fill="FFFFFF"/>
        <w:ind w:firstLine="397"/>
        <w:jc w:val="both"/>
        <w:rPr>
          <w:rFonts w:ascii="Times New Roman" w:hAnsi="Times New Roman" w:cs="Times New Roman"/>
          <w:sz w:val="24"/>
          <w:szCs w:val="24"/>
        </w:rPr>
      </w:pPr>
      <w:r w:rsidRPr="00E37057">
        <w:rPr>
          <w:rFonts w:ascii="Times New Roman" w:hAnsi="Times New Roman" w:cs="Times New Roman"/>
          <w:sz w:val="24"/>
          <w:szCs w:val="24"/>
        </w:rPr>
        <w:t>Одной из таких мишеней является простатический специфический мембранный антиген (ПСМА)</w:t>
      </w:r>
      <w:r>
        <w:rPr>
          <w:rFonts w:ascii="Times New Roman" w:hAnsi="Times New Roman" w:cs="Times New Roman"/>
          <w:sz w:val="24"/>
          <w:szCs w:val="24"/>
        </w:rPr>
        <w:t xml:space="preserve"> - </w:t>
      </w:r>
      <w:r w:rsidRPr="00E37057">
        <w:rPr>
          <w:rFonts w:ascii="Times New Roman" w:hAnsi="Times New Roman" w:cs="Times New Roman"/>
          <w:sz w:val="24"/>
          <w:szCs w:val="24"/>
        </w:rPr>
        <w:t xml:space="preserve">также известный как </w:t>
      </w:r>
      <w:proofErr w:type="spellStart"/>
      <w:r w:rsidRPr="00E37057">
        <w:rPr>
          <w:rFonts w:ascii="Times New Roman" w:hAnsi="Times New Roman" w:cs="Times New Roman"/>
          <w:sz w:val="24"/>
          <w:szCs w:val="24"/>
        </w:rPr>
        <w:t>глутаматкарбоксипептидаза</w:t>
      </w:r>
      <w:proofErr w:type="spellEnd"/>
      <w:r w:rsidRPr="00E37057">
        <w:rPr>
          <w:rFonts w:ascii="Times New Roman" w:hAnsi="Times New Roman" w:cs="Times New Roman"/>
          <w:sz w:val="24"/>
          <w:szCs w:val="24"/>
        </w:rPr>
        <w:t xml:space="preserve"> </w:t>
      </w:r>
      <w:r w:rsidRPr="00E37057">
        <w:rPr>
          <w:rFonts w:ascii="Times New Roman" w:hAnsi="Times New Roman" w:cs="Times New Roman"/>
          <w:sz w:val="24"/>
          <w:szCs w:val="24"/>
          <w:lang w:val="en-US"/>
        </w:rPr>
        <w:t>II</w:t>
      </w:r>
      <w:r w:rsidRPr="00E37057">
        <w:rPr>
          <w:rFonts w:ascii="Times New Roman" w:hAnsi="Times New Roman" w:cs="Times New Roman"/>
          <w:sz w:val="24"/>
          <w:szCs w:val="24"/>
        </w:rPr>
        <w:t xml:space="preserve"> (</w:t>
      </w:r>
      <w:r w:rsidRPr="00E37057">
        <w:rPr>
          <w:rFonts w:ascii="Times New Roman" w:hAnsi="Times New Roman" w:cs="Times New Roman"/>
          <w:sz w:val="24"/>
          <w:szCs w:val="24"/>
          <w:lang w:val="en-US"/>
        </w:rPr>
        <w:t>GCPII</w:t>
      </w:r>
      <w:r w:rsidR="00C23AB6">
        <w:rPr>
          <w:rFonts w:ascii="Times New Roman" w:hAnsi="Times New Roman" w:cs="Times New Roman"/>
          <w:sz w:val="24"/>
          <w:szCs w:val="24"/>
        </w:rPr>
        <w:t>), представляющий</w:t>
      </w:r>
      <w:r w:rsidRPr="00E37057">
        <w:rPr>
          <w:rFonts w:ascii="Times New Roman" w:hAnsi="Times New Roman" w:cs="Times New Roman"/>
          <w:sz w:val="24"/>
          <w:szCs w:val="24"/>
        </w:rPr>
        <w:t xml:space="preserve"> собой трансмембранную </w:t>
      </w:r>
      <w:proofErr w:type="spellStart"/>
      <w:r w:rsidRPr="00E37057">
        <w:rPr>
          <w:rFonts w:ascii="Times New Roman" w:hAnsi="Times New Roman" w:cs="Times New Roman"/>
          <w:sz w:val="24"/>
          <w:szCs w:val="24"/>
        </w:rPr>
        <w:t>металлопептидазу</w:t>
      </w:r>
      <w:proofErr w:type="spellEnd"/>
      <w:r w:rsidRPr="00E37057">
        <w:rPr>
          <w:rFonts w:ascii="Times New Roman" w:hAnsi="Times New Roman" w:cs="Times New Roman"/>
          <w:sz w:val="24"/>
          <w:szCs w:val="24"/>
        </w:rPr>
        <w:t xml:space="preserve"> типа </w:t>
      </w:r>
      <w:r w:rsidRPr="00E37057">
        <w:rPr>
          <w:rFonts w:ascii="Times New Roman" w:hAnsi="Times New Roman" w:cs="Times New Roman"/>
          <w:sz w:val="24"/>
          <w:szCs w:val="24"/>
          <w:lang w:val="en-US"/>
        </w:rPr>
        <w:t>II</w:t>
      </w:r>
      <w:r w:rsidR="00E53FDA">
        <w:rPr>
          <w:rFonts w:ascii="Times New Roman" w:hAnsi="Times New Roman" w:cs="Times New Roman"/>
          <w:sz w:val="24"/>
          <w:szCs w:val="24"/>
        </w:rPr>
        <w:fldChar w:fldCharType="begin" w:fldLock="1"/>
      </w:r>
      <w:r w:rsidR="00FA2813">
        <w:rPr>
          <w:rFonts w:ascii="Times New Roman" w:hAnsi="Times New Roman" w:cs="Times New Roman"/>
          <w:sz w:val="24"/>
          <w:szCs w:val="24"/>
        </w:rPr>
        <w:instrText>ADDIN CSL_CITATION {"citationItems":[{"id":"ITEM-1","itemData":{"DOI":"10.1107/S174430910700379X","ISSN":"17443091","PMID":"17329803","abstract":"Human glutamate carboxypeptidase II (GCPII; EC 3.4.17.21) is an established marker for prostate-cancer diagnosis as well as a candidate therapeutic target for the treatment of diverse pathologies that involve glutamatergic transmission. Structural data on GCPII are thus valuable for the design and optimization of GCPII-specific inhibitors and diagnostic probes. The currently available structure of ligand-free GCPII was refined to a resolution of 3.5 Å. This work reports the structure of the protein refined to 1.65 Å resolution, with crystallographic values of R = 0.207 and Rfree = 0.228. The new structure extends the resolution appreciably and the new model based on this data shows significant differences when compared with the previously published model. © International Union of Crystallography 2007.","author":[{"dropping-particle":"","family":"Barinka","given":"Cyril","non-dropping-particle":"","parse-names":false,"suffix":""},{"dropping-particle":"","family":"Starkova","given":"Jana","non-dropping-particle":"","parse-names":false,"suffix":""},{"dropping-particle":"","family":"Konvalinka","given":"Jan","non-dropping-particle":"","parse-names":false,"suffix":""},{"dropping-particle":"","family":"Lubkowski","given":"Jacek","non-dropping-particle":"","parse-names":false,"suffix":""}],"container-title":"Acta Crystallographica Section F: Structural Biology and Crystallization Communications","id":"ITEM-1","issue":"3","issued":{"date-parts":[["2007"]]},"page":"150-153","title":"A high-resolution structure of ligand-free human glutamate carboxypeptidase II","type":"article-journal","volume":"63"},"uris":["http://www.mendeley.com/documents/?uuid=99cb88fd-7abe-4e80-9460-a4a8ac62a66a"]}],"mendeley":{"formattedCitation":"[2]","plainTextFormattedCitation":"[2]","previouslyFormattedCitation":"[2]"},"properties":{"noteIndex":0},"schema":"https://github.com/citation-style-language/schema/raw/master/csl-citation.json"}</w:instrText>
      </w:r>
      <w:r w:rsidR="00E53FDA">
        <w:rPr>
          <w:rFonts w:ascii="Times New Roman" w:hAnsi="Times New Roman" w:cs="Times New Roman"/>
          <w:sz w:val="24"/>
          <w:szCs w:val="24"/>
        </w:rPr>
        <w:fldChar w:fldCharType="separate"/>
      </w:r>
      <w:r w:rsidR="00620CF3">
        <w:rPr>
          <w:rFonts w:ascii="Times New Roman" w:hAnsi="Times New Roman" w:cs="Times New Roman"/>
          <w:noProof/>
          <w:sz w:val="24"/>
          <w:szCs w:val="24"/>
        </w:rPr>
        <w:t>[1</w:t>
      </w:r>
      <w:r w:rsidR="00E15740" w:rsidRPr="00E15740">
        <w:rPr>
          <w:rFonts w:ascii="Times New Roman" w:hAnsi="Times New Roman" w:cs="Times New Roman"/>
          <w:noProof/>
          <w:sz w:val="24"/>
          <w:szCs w:val="24"/>
        </w:rPr>
        <w:t>]</w:t>
      </w:r>
      <w:r w:rsidR="00E53FDA">
        <w:rPr>
          <w:rFonts w:ascii="Times New Roman" w:hAnsi="Times New Roman" w:cs="Times New Roman"/>
          <w:sz w:val="24"/>
          <w:szCs w:val="24"/>
        </w:rPr>
        <w:fldChar w:fldCharType="end"/>
      </w:r>
      <w:r w:rsidR="009856EE">
        <w:rPr>
          <w:rFonts w:ascii="Times New Roman" w:hAnsi="Times New Roman" w:cs="Times New Roman"/>
          <w:sz w:val="24"/>
          <w:szCs w:val="24"/>
        </w:rPr>
        <w:t>.</w:t>
      </w:r>
    </w:p>
    <w:p w:rsidR="00A5310F" w:rsidRPr="00A5310F" w:rsidRDefault="00FA2813" w:rsidP="003045F4">
      <w:pPr>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sidRPr="00FA2813">
        <w:rPr>
          <w:rFonts w:ascii="Times New Roman" w:hAnsi="Times New Roman" w:cs="Times New Roman"/>
          <w:sz w:val="24"/>
          <w:szCs w:val="24"/>
        </w:rPr>
        <w:t xml:space="preserve">Второй по распространённости мишенью при РПЖ является </w:t>
      </w:r>
      <w:proofErr w:type="spellStart"/>
      <w:r w:rsidRPr="00FA2813">
        <w:rPr>
          <w:rFonts w:ascii="Times New Roman" w:hAnsi="Times New Roman" w:cs="Times New Roman"/>
          <w:sz w:val="24"/>
          <w:szCs w:val="24"/>
        </w:rPr>
        <w:t>гастриновый</w:t>
      </w:r>
      <w:proofErr w:type="spellEnd"/>
      <w:r w:rsidRPr="00FA2813">
        <w:rPr>
          <w:rFonts w:ascii="Times New Roman" w:hAnsi="Times New Roman" w:cs="Times New Roman"/>
          <w:sz w:val="24"/>
          <w:szCs w:val="24"/>
        </w:rPr>
        <w:t xml:space="preserve"> рецептор (</w:t>
      </w:r>
      <w:r w:rsidRPr="00FA2813">
        <w:rPr>
          <w:rFonts w:ascii="Times New Roman" w:hAnsi="Times New Roman" w:cs="Times New Roman"/>
          <w:sz w:val="24"/>
          <w:szCs w:val="24"/>
          <w:lang w:val="en-US"/>
        </w:rPr>
        <w:t>GRPR</w:t>
      </w:r>
      <w:r w:rsidRPr="00FA2813">
        <w:rPr>
          <w:rFonts w:ascii="Times New Roman" w:hAnsi="Times New Roman" w:cs="Times New Roman"/>
          <w:sz w:val="24"/>
          <w:szCs w:val="24"/>
        </w:rPr>
        <w:t xml:space="preserve">), он </w:t>
      </w:r>
      <w:proofErr w:type="spellStart"/>
      <w:r w:rsidRPr="00D2014F">
        <w:rPr>
          <w:rFonts w:ascii="Times New Roman" w:hAnsi="Times New Roman" w:cs="Times New Roman"/>
          <w:sz w:val="24"/>
          <w:szCs w:val="24"/>
        </w:rPr>
        <w:t>экспрессирует</w:t>
      </w:r>
      <w:r w:rsidR="000F0ABF">
        <w:rPr>
          <w:rFonts w:ascii="Times New Roman" w:hAnsi="Times New Roman" w:cs="Times New Roman"/>
          <w:sz w:val="24"/>
          <w:szCs w:val="24"/>
        </w:rPr>
        <w:t>ся</w:t>
      </w:r>
      <w:proofErr w:type="spellEnd"/>
      <w:r w:rsidRPr="00FA2813">
        <w:rPr>
          <w:rFonts w:ascii="Times New Roman" w:hAnsi="Times New Roman" w:cs="Times New Roman"/>
          <w:sz w:val="24"/>
          <w:szCs w:val="24"/>
        </w:rPr>
        <w:t xml:space="preserve"> у 91% пациентов с РПЖ</w:t>
      </w:r>
      <w:r w:rsidR="00E53FDA">
        <w:rPr>
          <w:rFonts w:ascii="Times New Roman" w:hAnsi="Times New Roman" w:cs="Times New Roman"/>
          <w:sz w:val="24"/>
          <w:szCs w:val="24"/>
        </w:rPr>
        <w:fldChar w:fldCharType="begin" w:fldLock="1"/>
      </w:r>
      <w:r w:rsidR="00A50723">
        <w:rPr>
          <w:rFonts w:ascii="Times New Roman" w:hAnsi="Times New Roman" w:cs="Times New Roman"/>
          <w:sz w:val="24"/>
          <w:szCs w:val="24"/>
        </w:rPr>
        <w:instrText>ADDIN CSL_CITATION {"citationItems":[{"id":"ITEM-1","itemData":{"DOI":"10.1016/j.bbcan.2006.01.003","ISSN":"0304419X","PMID":"16490321","abstract":"Over the past 20 years, abundant evidence has been collected to suggest that gastrin-releasing peptide (GRP) and its receptors play an important role in the development of a variety of cancers. In fact, the detection of GRP and the GRP receptor in small cell lung carcinoma (SCLC), and the demonstration that anti-GRP antibodies inhibited proliferation in SCLC cell lines, established GRP as the prototypical autocrine growth factor. All forms of GRP are generated by processing of a 125-amino acid prohormone; recent studies indicate that C-terminal amidation of GRP18-27 is not essential for bioactivity, and that peptides derived from residues 31 to 125 of the prohormone are present in normal tissue and in tumors. GRP receptors can be divided into four classes, all of which belong to the 7 transmembrane domain family and bind GRP and/or GRP analogues with affinities in the nM range. Over-expression of GRP and its receptors has been demonstrated at both the mRNA and protein level in many types of tumors including lung, prostate, breast, stomach, pancreas and colon. GRP has also been shown to act as a potent mitogen for cancer cells of diverse origin both in vitro and in animal models of carcinogenesis. Other actions of GRP relevant to carcinogenesis include effects on morphogenesis, angiogenesis, cell migration and cell adhesion. Future prospects for the use of radiolabelled and cytotoxic GRP analogues and antagonists for cancer diagnosis and therapy appear promising. © 2006 Elsevier B.V. All rights reserved.","author":[{"dropping-particle":"","family":"Patel","given":"Oneel","non-dropping-particle":"","parse-names":false,"suffix":""},{"dropping-particle":"","family":"Shulkes","given":"Arthur","non-dropping-particle":"","parse-names":false,"suffix":""},{"dropping-particle":"","family":"Baldwin","given":"Graham S.","non-dropping-particle":"","parse-names":false,"suffix":""}],"container-title":"Biochimica et Biophysica Acta - Reviews on Cancer","id":"ITEM-1","issue":"1","issued":{"date-parts":[["2006"]]},"page":"23-41","title":"Gastrin-releasing peptide and cancer","type":"article-journal","volume":"1766"},"uris":["http://www.mendeley.com/documents/?uuid=58ca76ba-a8aa-4161-82f6-fc65ec41bfe9"]}],"mendeley":{"formattedCitation":"[3]","plainTextFormattedCitation":"[3]","previouslyFormattedCitation":"[3]"},"properties":{"noteIndex":0},"schema":"https://github.com/citation-style-language/schema/raw/master/csl-citation.json"}</w:instrText>
      </w:r>
      <w:r w:rsidR="00E53FDA">
        <w:rPr>
          <w:rFonts w:ascii="Times New Roman" w:hAnsi="Times New Roman" w:cs="Times New Roman"/>
          <w:sz w:val="24"/>
          <w:szCs w:val="24"/>
        </w:rPr>
        <w:fldChar w:fldCharType="separate"/>
      </w:r>
      <w:r w:rsidR="00620CF3">
        <w:rPr>
          <w:rFonts w:ascii="Times New Roman" w:hAnsi="Times New Roman" w:cs="Times New Roman"/>
          <w:noProof/>
          <w:sz w:val="24"/>
          <w:szCs w:val="24"/>
        </w:rPr>
        <w:t>[2</w:t>
      </w:r>
      <w:r w:rsidRPr="00FA2813">
        <w:rPr>
          <w:rFonts w:ascii="Times New Roman" w:hAnsi="Times New Roman" w:cs="Times New Roman"/>
          <w:noProof/>
          <w:sz w:val="24"/>
          <w:szCs w:val="24"/>
        </w:rPr>
        <w:t>]</w:t>
      </w:r>
      <w:r w:rsidR="00E53FDA">
        <w:rPr>
          <w:rFonts w:ascii="Times New Roman" w:hAnsi="Times New Roman" w:cs="Times New Roman"/>
          <w:sz w:val="24"/>
          <w:szCs w:val="24"/>
        </w:rPr>
        <w:fldChar w:fldCharType="end"/>
      </w:r>
      <w:r w:rsidRPr="00FA2813">
        <w:rPr>
          <w:rFonts w:ascii="Times New Roman" w:hAnsi="Times New Roman" w:cs="Times New Roman"/>
          <w:sz w:val="24"/>
          <w:szCs w:val="24"/>
        </w:rPr>
        <w:t xml:space="preserve">. </w:t>
      </w:r>
      <w:r w:rsidR="00A5310F" w:rsidRPr="00A5310F">
        <w:rPr>
          <w:rFonts w:ascii="Times New Roman" w:hAnsi="Times New Roman" w:cs="Times New Roman"/>
          <w:sz w:val="24"/>
          <w:szCs w:val="24"/>
        </w:rPr>
        <w:t xml:space="preserve">Путем объединения в одну молекулу лигандов направленных к ПСМА и направленных </w:t>
      </w:r>
      <w:r w:rsidR="009B2AFA" w:rsidRPr="00A5310F">
        <w:rPr>
          <w:rFonts w:ascii="Times New Roman" w:hAnsi="Times New Roman" w:cs="Times New Roman"/>
          <w:sz w:val="24"/>
          <w:szCs w:val="24"/>
        </w:rPr>
        <w:t>к рецептору,</w:t>
      </w:r>
      <w:r w:rsidR="00A5310F" w:rsidRPr="00A5310F">
        <w:rPr>
          <w:rFonts w:ascii="Times New Roman" w:hAnsi="Times New Roman" w:cs="Times New Roman"/>
          <w:sz w:val="24"/>
          <w:szCs w:val="24"/>
        </w:rPr>
        <w:t xml:space="preserve"> </w:t>
      </w:r>
      <w:r w:rsidR="00CD4CD9">
        <w:rPr>
          <w:rFonts w:ascii="Times New Roman" w:hAnsi="Times New Roman" w:cs="Times New Roman"/>
          <w:sz w:val="24"/>
          <w:szCs w:val="24"/>
        </w:rPr>
        <w:t xml:space="preserve">высвобождающему </w:t>
      </w:r>
      <w:proofErr w:type="spellStart"/>
      <w:r w:rsidR="00CD4CD9">
        <w:rPr>
          <w:rFonts w:ascii="Times New Roman" w:hAnsi="Times New Roman" w:cs="Times New Roman"/>
          <w:sz w:val="24"/>
          <w:szCs w:val="24"/>
        </w:rPr>
        <w:t>гастрин</w:t>
      </w:r>
      <w:proofErr w:type="spellEnd"/>
      <w:r w:rsidR="00CD4CD9">
        <w:rPr>
          <w:rFonts w:ascii="Times New Roman" w:hAnsi="Times New Roman" w:cs="Times New Roman"/>
          <w:sz w:val="24"/>
          <w:szCs w:val="24"/>
        </w:rPr>
        <w:t xml:space="preserve"> </w:t>
      </w:r>
      <w:r w:rsidR="00A5310F" w:rsidRPr="00A5310F">
        <w:rPr>
          <w:rFonts w:ascii="Times New Roman" w:hAnsi="Times New Roman" w:cs="Times New Roman"/>
          <w:sz w:val="24"/>
          <w:szCs w:val="24"/>
        </w:rPr>
        <w:t xml:space="preserve">– можно получить </w:t>
      </w:r>
      <w:proofErr w:type="spellStart"/>
      <w:r w:rsidR="00A5310F" w:rsidRPr="00A5310F">
        <w:rPr>
          <w:rFonts w:ascii="Times New Roman" w:hAnsi="Times New Roman" w:cs="Times New Roman"/>
          <w:sz w:val="24"/>
          <w:szCs w:val="24"/>
        </w:rPr>
        <w:t>гетеробивалентный</w:t>
      </w:r>
      <w:proofErr w:type="spellEnd"/>
      <w:r w:rsidR="00A5310F" w:rsidRPr="00A5310F">
        <w:rPr>
          <w:rFonts w:ascii="Times New Roman" w:hAnsi="Times New Roman" w:cs="Times New Roman"/>
          <w:sz w:val="24"/>
          <w:szCs w:val="24"/>
        </w:rPr>
        <w:t xml:space="preserve"> </w:t>
      </w:r>
      <w:proofErr w:type="spellStart"/>
      <w:r w:rsidR="00A5310F" w:rsidRPr="00A5310F">
        <w:rPr>
          <w:rFonts w:ascii="Times New Roman" w:hAnsi="Times New Roman" w:cs="Times New Roman"/>
          <w:sz w:val="24"/>
          <w:szCs w:val="24"/>
        </w:rPr>
        <w:t>лиганд</w:t>
      </w:r>
      <w:proofErr w:type="spellEnd"/>
      <w:r w:rsidR="00A5310F" w:rsidRPr="00A5310F">
        <w:rPr>
          <w:rFonts w:ascii="Times New Roman" w:hAnsi="Times New Roman" w:cs="Times New Roman"/>
          <w:sz w:val="24"/>
          <w:szCs w:val="24"/>
        </w:rPr>
        <w:t xml:space="preserve">. Применение концепции </w:t>
      </w:r>
      <w:proofErr w:type="spellStart"/>
      <w:r w:rsidR="00A5310F" w:rsidRPr="00A5310F">
        <w:rPr>
          <w:rFonts w:ascii="Times New Roman" w:hAnsi="Times New Roman" w:cs="Times New Roman"/>
          <w:sz w:val="24"/>
          <w:szCs w:val="24"/>
        </w:rPr>
        <w:t>гетеробивалентных</w:t>
      </w:r>
      <w:proofErr w:type="spellEnd"/>
      <w:r w:rsidR="00A5310F" w:rsidRPr="00A5310F">
        <w:rPr>
          <w:rFonts w:ascii="Times New Roman" w:hAnsi="Times New Roman" w:cs="Times New Roman"/>
          <w:sz w:val="24"/>
          <w:szCs w:val="24"/>
        </w:rPr>
        <w:t xml:space="preserve"> </w:t>
      </w:r>
      <w:proofErr w:type="spellStart"/>
      <w:r w:rsidR="00A5310F" w:rsidRPr="00A5310F">
        <w:rPr>
          <w:rFonts w:ascii="Times New Roman" w:hAnsi="Times New Roman" w:cs="Times New Roman"/>
          <w:sz w:val="24"/>
          <w:szCs w:val="24"/>
        </w:rPr>
        <w:t>конъюгатов</w:t>
      </w:r>
      <w:proofErr w:type="spellEnd"/>
      <w:r w:rsidR="00A5310F" w:rsidRPr="00A5310F">
        <w:rPr>
          <w:rFonts w:ascii="Times New Roman" w:hAnsi="Times New Roman" w:cs="Times New Roman"/>
          <w:sz w:val="24"/>
          <w:szCs w:val="24"/>
        </w:rPr>
        <w:t xml:space="preserve"> позволит объединить достоинства лигандов к каждой мишени в одной молекуле.</w:t>
      </w:r>
    </w:p>
    <w:p w:rsidR="00223A16" w:rsidRDefault="00FC0036" w:rsidP="003045F4">
      <w:pPr>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sidRPr="00FC0036">
        <w:rPr>
          <w:rFonts w:ascii="Times New Roman" w:eastAsia="Times New Roman" w:hAnsi="Times New Roman" w:cs="Times New Roman"/>
          <w:color w:val="000000"/>
          <w:sz w:val="24"/>
          <w:szCs w:val="24"/>
        </w:rPr>
        <w:t xml:space="preserve">В настоящей работе были разработаны и оптимизированы методы </w:t>
      </w:r>
      <w:r w:rsidR="000C07A5" w:rsidRPr="00FC0036">
        <w:rPr>
          <w:rFonts w:ascii="Times New Roman" w:eastAsia="Times New Roman" w:hAnsi="Times New Roman" w:cs="Times New Roman"/>
          <w:color w:val="000000"/>
          <w:sz w:val="24"/>
          <w:szCs w:val="24"/>
        </w:rPr>
        <w:t>синтеза</w:t>
      </w:r>
      <w:r w:rsidR="000C07A5">
        <w:rPr>
          <w:rFonts w:ascii="Times New Roman" w:eastAsia="Times New Roman" w:hAnsi="Times New Roman" w:cs="Times New Roman"/>
          <w:color w:val="000000"/>
          <w:sz w:val="24"/>
          <w:szCs w:val="24"/>
        </w:rPr>
        <w:t xml:space="preserve"> </w:t>
      </w:r>
      <w:r w:rsidR="00721108">
        <w:rPr>
          <w:rFonts w:ascii="Times New Roman" w:eastAsia="Times New Roman" w:hAnsi="Times New Roman" w:cs="Times New Roman"/>
          <w:color w:val="000000"/>
          <w:sz w:val="24"/>
          <w:szCs w:val="24"/>
        </w:rPr>
        <w:t xml:space="preserve">гетеробивалентных </w:t>
      </w:r>
      <w:r w:rsidR="00122C5D">
        <w:rPr>
          <w:rFonts w:ascii="Times New Roman" w:eastAsia="Times New Roman" w:hAnsi="Times New Roman" w:cs="Times New Roman"/>
          <w:color w:val="000000"/>
          <w:sz w:val="24"/>
          <w:szCs w:val="24"/>
        </w:rPr>
        <w:t>лигандов</w:t>
      </w:r>
      <w:r w:rsidR="00223A16">
        <w:rPr>
          <w:rFonts w:ascii="Times New Roman" w:eastAsia="Times New Roman" w:hAnsi="Times New Roman" w:cs="Times New Roman"/>
          <w:color w:val="000000"/>
          <w:sz w:val="24"/>
          <w:szCs w:val="24"/>
        </w:rPr>
        <w:t xml:space="preserve">, </w:t>
      </w:r>
      <w:r w:rsidR="000B6C33">
        <w:rPr>
          <w:rFonts w:ascii="Times New Roman" w:eastAsia="Times New Roman" w:hAnsi="Times New Roman" w:cs="Times New Roman"/>
          <w:color w:val="000000"/>
          <w:sz w:val="24"/>
          <w:szCs w:val="24"/>
        </w:rPr>
        <w:t xml:space="preserve">аффинных к </w:t>
      </w:r>
      <w:r w:rsidR="00DE7FE8">
        <w:rPr>
          <w:rFonts w:ascii="Times New Roman" w:eastAsia="Times New Roman" w:hAnsi="Times New Roman" w:cs="Times New Roman"/>
          <w:color w:val="000000"/>
          <w:sz w:val="24"/>
          <w:szCs w:val="24"/>
        </w:rPr>
        <w:t>обоим мишеням</w:t>
      </w:r>
      <w:r w:rsidR="000B6C33">
        <w:rPr>
          <w:rFonts w:ascii="Times New Roman" w:eastAsia="Times New Roman" w:hAnsi="Times New Roman" w:cs="Times New Roman"/>
          <w:color w:val="000000"/>
          <w:sz w:val="24"/>
          <w:szCs w:val="24"/>
        </w:rPr>
        <w:t xml:space="preserve">, содержащих </w:t>
      </w:r>
      <w:r w:rsidR="00DE7FE8">
        <w:rPr>
          <w:rFonts w:ascii="Times New Roman" w:eastAsia="Times New Roman" w:hAnsi="Times New Roman" w:cs="Times New Roman"/>
          <w:color w:val="000000"/>
          <w:sz w:val="24"/>
          <w:szCs w:val="24"/>
        </w:rPr>
        <w:t xml:space="preserve">различные терапевтические и диагностические агенты </w:t>
      </w:r>
      <w:r>
        <w:rPr>
          <w:rFonts w:ascii="Times New Roman" w:eastAsia="Times New Roman" w:hAnsi="Times New Roman" w:cs="Times New Roman"/>
          <w:color w:val="000000"/>
          <w:sz w:val="24"/>
          <w:szCs w:val="24"/>
        </w:rPr>
        <w:t xml:space="preserve">для </w:t>
      </w:r>
      <w:r w:rsidR="001D3D49">
        <w:rPr>
          <w:rFonts w:ascii="Times New Roman" w:eastAsia="Times New Roman" w:hAnsi="Times New Roman" w:cs="Times New Roman"/>
          <w:color w:val="000000"/>
          <w:sz w:val="24"/>
          <w:szCs w:val="24"/>
        </w:rPr>
        <w:t xml:space="preserve">адресной </w:t>
      </w:r>
      <w:r>
        <w:rPr>
          <w:rFonts w:ascii="Times New Roman" w:eastAsia="Times New Roman" w:hAnsi="Times New Roman" w:cs="Times New Roman"/>
          <w:color w:val="000000"/>
          <w:sz w:val="24"/>
          <w:szCs w:val="24"/>
        </w:rPr>
        <w:t>доставки</w:t>
      </w:r>
      <w:r w:rsidR="001D3D49">
        <w:rPr>
          <w:rFonts w:ascii="Times New Roman" w:eastAsia="Times New Roman" w:hAnsi="Times New Roman" w:cs="Times New Roman"/>
          <w:color w:val="000000"/>
          <w:sz w:val="24"/>
          <w:szCs w:val="24"/>
        </w:rPr>
        <w:t xml:space="preserve"> в опухолевые клетки простаты</w:t>
      </w:r>
      <w:r w:rsidR="000C07A5">
        <w:rPr>
          <w:rFonts w:ascii="Times New Roman" w:eastAsia="Times New Roman" w:hAnsi="Times New Roman" w:cs="Times New Roman"/>
          <w:color w:val="000000"/>
          <w:sz w:val="24"/>
          <w:szCs w:val="24"/>
        </w:rPr>
        <w:t xml:space="preserve">. </w:t>
      </w:r>
      <w:r w:rsidR="00EA48F3">
        <w:rPr>
          <w:rFonts w:ascii="Times New Roman" w:eastAsia="Times New Roman" w:hAnsi="Times New Roman" w:cs="Times New Roman"/>
          <w:color w:val="000000"/>
          <w:sz w:val="24"/>
          <w:szCs w:val="24"/>
        </w:rPr>
        <w:t>Общая структура лиганда представлена на рисунке:</w:t>
      </w:r>
    </w:p>
    <w:p w:rsidR="00D12F23" w:rsidRPr="0087133F" w:rsidRDefault="00E53FDA" w:rsidP="009D7531">
      <w:pPr>
        <w:pBdr>
          <w:top w:val="nil"/>
          <w:left w:val="nil"/>
          <w:bottom w:val="nil"/>
          <w:right w:val="nil"/>
          <w:between w:val="nil"/>
        </w:pBdr>
        <w:shd w:val="clear" w:color="auto" w:fill="FFFFFF"/>
        <w:jc w:val="center"/>
        <w:rPr>
          <w:rFonts w:ascii="Times New Roman" w:eastAsia="Times New Roman" w:hAnsi="Times New Roman" w:cs="Times New Roman"/>
          <w:bCs/>
          <w:color w:val="000000"/>
          <w:sz w:val="24"/>
          <w:szCs w:val="24"/>
        </w:rPr>
      </w:pPr>
      <w:r w:rsidRPr="00E53F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11.3pt;width:458.65pt;height:166.05pt;z-index:251659264">
            <v:imagedata r:id="rId6" o:title="2"/>
            <w10:wrap type="topAndBottom"/>
          </v:shape>
        </w:pict>
      </w:r>
      <w:r w:rsidR="00D12F23" w:rsidRPr="0087133F">
        <w:rPr>
          <w:rFonts w:ascii="Times New Roman" w:eastAsia="Times New Roman" w:hAnsi="Times New Roman" w:cs="Times New Roman"/>
          <w:bCs/>
          <w:color w:val="000000"/>
          <w:sz w:val="24"/>
          <w:szCs w:val="24"/>
        </w:rPr>
        <w:t>Исследование выполнено за счет гранта Российского научного фонда № 22-73-00066,</w:t>
      </w:r>
    </w:p>
    <w:p w:rsidR="00FE6961" w:rsidRPr="0087133F" w:rsidRDefault="00D12F23" w:rsidP="009D7531">
      <w:pPr>
        <w:pBdr>
          <w:top w:val="nil"/>
          <w:left w:val="nil"/>
          <w:bottom w:val="nil"/>
          <w:right w:val="nil"/>
          <w:between w:val="nil"/>
        </w:pBdr>
        <w:shd w:val="clear" w:color="auto" w:fill="FFFFFF"/>
        <w:jc w:val="center"/>
        <w:rPr>
          <w:rFonts w:ascii="Times New Roman" w:eastAsia="Times New Roman" w:hAnsi="Times New Roman" w:cs="Times New Roman"/>
          <w:bCs/>
          <w:color w:val="000000"/>
          <w:sz w:val="24"/>
          <w:szCs w:val="24"/>
          <w:lang w:val="en-US"/>
        </w:rPr>
      </w:pPr>
      <w:r w:rsidRPr="0087133F">
        <w:rPr>
          <w:rFonts w:ascii="Times New Roman" w:eastAsia="Times New Roman" w:hAnsi="Times New Roman" w:cs="Times New Roman"/>
          <w:bCs/>
          <w:color w:val="000000"/>
          <w:sz w:val="24"/>
          <w:szCs w:val="24"/>
          <w:lang w:val="en-US"/>
        </w:rPr>
        <w:t>https://rscf.ru/project/22-73-00066/</w:t>
      </w:r>
    </w:p>
    <w:p w:rsidR="00CC43F0" w:rsidRPr="0087133F" w:rsidRDefault="003045F4" w:rsidP="003045F4">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val="en-US"/>
        </w:rPr>
      </w:pPr>
      <w:r w:rsidRPr="0087133F">
        <w:rPr>
          <w:rFonts w:ascii="Times New Roman" w:eastAsia="Times New Roman" w:hAnsi="Times New Roman" w:cs="Times New Roman"/>
          <w:b/>
          <w:color w:val="000000"/>
          <w:sz w:val="24"/>
          <w:szCs w:val="24"/>
        </w:rPr>
        <w:t>Литература</w:t>
      </w:r>
    </w:p>
    <w:p w:rsidR="00A50723" w:rsidRPr="001F1375" w:rsidRDefault="00E53FDA" w:rsidP="00BD32F0">
      <w:pPr>
        <w:widowControl w:val="0"/>
        <w:autoSpaceDE w:val="0"/>
        <w:autoSpaceDN w:val="0"/>
        <w:adjustRightInd w:val="0"/>
        <w:ind w:left="640" w:hanging="640"/>
        <w:jc w:val="both"/>
        <w:rPr>
          <w:rFonts w:ascii="Times New Roman" w:hAnsi="Times New Roman" w:cs="Times New Roman"/>
          <w:noProof/>
          <w:sz w:val="24"/>
          <w:szCs w:val="24"/>
          <w:lang w:val="en-US"/>
        </w:rPr>
      </w:pPr>
      <w:r w:rsidRPr="0087133F">
        <w:rPr>
          <w:rFonts w:ascii="Times New Roman" w:eastAsia="Times New Roman" w:hAnsi="Times New Roman" w:cs="Times New Roman"/>
          <w:color w:val="000000"/>
          <w:sz w:val="24"/>
          <w:szCs w:val="24"/>
          <w:lang w:val="en-US"/>
        </w:rPr>
        <w:fldChar w:fldCharType="begin" w:fldLock="1"/>
      </w:r>
      <w:r w:rsidR="00A50723" w:rsidRPr="0087133F">
        <w:rPr>
          <w:rFonts w:ascii="Times New Roman" w:eastAsia="Times New Roman" w:hAnsi="Times New Roman" w:cs="Times New Roman"/>
          <w:color w:val="000000"/>
          <w:sz w:val="24"/>
          <w:szCs w:val="24"/>
          <w:lang w:val="en-US"/>
        </w:rPr>
        <w:instrText xml:space="preserve">ADDIN Mendeley Bibliography CSL_BIBLIOGRAPHY </w:instrText>
      </w:r>
      <w:r w:rsidRPr="0087133F">
        <w:rPr>
          <w:rFonts w:ascii="Times New Roman" w:eastAsia="Times New Roman" w:hAnsi="Times New Roman" w:cs="Times New Roman"/>
          <w:color w:val="000000"/>
          <w:sz w:val="24"/>
          <w:szCs w:val="24"/>
          <w:lang w:val="en-US"/>
        </w:rPr>
        <w:fldChar w:fldCharType="separate"/>
      </w:r>
      <w:r w:rsidR="00620CF3">
        <w:rPr>
          <w:rFonts w:ascii="Times New Roman" w:hAnsi="Times New Roman" w:cs="Times New Roman"/>
          <w:noProof/>
          <w:sz w:val="24"/>
          <w:szCs w:val="24"/>
          <w:lang w:val="en-US"/>
        </w:rPr>
        <w:t>1</w:t>
      </w:r>
      <w:r w:rsidR="00A50723" w:rsidRPr="001F1375">
        <w:rPr>
          <w:rFonts w:ascii="Times New Roman" w:hAnsi="Times New Roman" w:cs="Times New Roman"/>
          <w:noProof/>
          <w:sz w:val="24"/>
          <w:szCs w:val="24"/>
          <w:lang w:val="en-US"/>
        </w:rPr>
        <w:t>.</w:t>
      </w:r>
      <w:r w:rsidR="00A50723" w:rsidRPr="001F1375">
        <w:rPr>
          <w:rFonts w:ascii="Times New Roman" w:hAnsi="Times New Roman" w:cs="Times New Roman"/>
          <w:noProof/>
          <w:sz w:val="24"/>
          <w:szCs w:val="24"/>
          <w:lang w:val="en-US"/>
        </w:rPr>
        <w:tab/>
        <w:t xml:space="preserve">Barinka C. A high-resolution structure of ligand-free human glutamate carboxypeptidase II // Acta Crystallogr. Sect. F Struct. Biol. Cryst. Commun. 2007. – </w:t>
      </w:r>
      <w:r w:rsidR="00FE5C8D">
        <w:rPr>
          <w:rFonts w:ascii="Times New Roman" w:hAnsi="Times New Roman" w:cs="Times New Roman"/>
          <w:noProof/>
          <w:sz w:val="24"/>
          <w:szCs w:val="24"/>
          <w:lang w:val="en-US"/>
        </w:rPr>
        <w:t>V</w:t>
      </w:r>
      <w:r w:rsidR="00A50723" w:rsidRPr="001F1375">
        <w:rPr>
          <w:rFonts w:ascii="Times New Roman" w:hAnsi="Times New Roman" w:cs="Times New Roman"/>
          <w:noProof/>
          <w:sz w:val="24"/>
          <w:szCs w:val="24"/>
          <w:lang w:val="en-US"/>
        </w:rPr>
        <w:t xml:space="preserve">. 63. – № 3. – </w:t>
      </w:r>
      <w:r w:rsidR="00FE5C8D">
        <w:rPr>
          <w:rFonts w:ascii="Times New Roman" w:hAnsi="Times New Roman" w:cs="Times New Roman"/>
          <w:noProof/>
          <w:sz w:val="24"/>
          <w:szCs w:val="24"/>
          <w:lang w:val="en-US"/>
        </w:rPr>
        <w:t>P</w:t>
      </w:r>
      <w:r w:rsidR="00A50723" w:rsidRPr="001F1375">
        <w:rPr>
          <w:rFonts w:ascii="Times New Roman" w:hAnsi="Times New Roman" w:cs="Times New Roman"/>
          <w:noProof/>
          <w:sz w:val="24"/>
          <w:szCs w:val="24"/>
          <w:lang w:val="en-US"/>
        </w:rPr>
        <w:t>. 150–153.</w:t>
      </w:r>
    </w:p>
    <w:p w:rsidR="00CC43F0" w:rsidRPr="00A50723" w:rsidRDefault="00620CF3" w:rsidP="00233864">
      <w:pPr>
        <w:widowControl w:val="0"/>
        <w:autoSpaceDE w:val="0"/>
        <w:autoSpaceDN w:val="0"/>
        <w:adjustRightInd w:val="0"/>
        <w:ind w:left="640" w:hanging="640"/>
        <w:jc w:val="both"/>
        <w:rPr>
          <w:rFonts w:ascii="Times New Roman" w:eastAsia="Times New Roman" w:hAnsi="Times New Roman" w:cs="Times New Roman"/>
          <w:color w:val="000000"/>
          <w:lang w:val="en-US"/>
        </w:rPr>
      </w:pPr>
      <w:r>
        <w:rPr>
          <w:rFonts w:ascii="Times New Roman" w:hAnsi="Times New Roman" w:cs="Times New Roman"/>
          <w:noProof/>
          <w:sz w:val="24"/>
          <w:szCs w:val="24"/>
          <w:lang w:val="en-US"/>
        </w:rPr>
        <w:t>2</w:t>
      </w:r>
      <w:r w:rsidR="00A50723" w:rsidRPr="001F1375">
        <w:rPr>
          <w:rFonts w:ascii="Times New Roman" w:hAnsi="Times New Roman" w:cs="Times New Roman"/>
          <w:noProof/>
          <w:sz w:val="24"/>
          <w:szCs w:val="24"/>
          <w:lang w:val="en-US"/>
        </w:rPr>
        <w:t>.</w:t>
      </w:r>
      <w:r w:rsidR="00A50723" w:rsidRPr="001F1375">
        <w:rPr>
          <w:rFonts w:ascii="Times New Roman" w:hAnsi="Times New Roman" w:cs="Times New Roman"/>
          <w:noProof/>
          <w:sz w:val="24"/>
          <w:szCs w:val="24"/>
          <w:lang w:val="en-US"/>
        </w:rPr>
        <w:tab/>
        <w:t xml:space="preserve">Patel O., Shulkes A., Baldwin G.S. Gastrin-releasing peptide and cancer // Biochim. </w:t>
      </w:r>
      <w:r w:rsidR="00A50723" w:rsidRPr="00F00B81">
        <w:rPr>
          <w:rFonts w:ascii="Times New Roman" w:hAnsi="Times New Roman" w:cs="Times New Roman"/>
          <w:noProof/>
          <w:sz w:val="24"/>
          <w:szCs w:val="24"/>
          <w:lang w:val="en-US"/>
        </w:rPr>
        <w:t xml:space="preserve">Biophys. Acta - Rev. Cancer. 2006. – </w:t>
      </w:r>
      <w:r w:rsidR="00FE5C8D">
        <w:rPr>
          <w:rFonts w:ascii="Times New Roman" w:hAnsi="Times New Roman" w:cs="Times New Roman"/>
          <w:noProof/>
          <w:sz w:val="24"/>
          <w:szCs w:val="24"/>
          <w:lang w:val="en-US"/>
        </w:rPr>
        <w:t>V</w:t>
      </w:r>
      <w:r w:rsidR="00A50723" w:rsidRPr="00F00B81">
        <w:rPr>
          <w:rFonts w:ascii="Times New Roman" w:hAnsi="Times New Roman" w:cs="Times New Roman"/>
          <w:noProof/>
          <w:sz w:val="24"/>
          <w:szCs w:val="24"/>
          <w:lang w:val="en-US"/>
        </w:rPr>
        <w:t xml:space="preserve">. 1766. – № 1. – </w:t>
      </w:r>
      <w:r w:rsidR="00FE5C8D">
        <w:rPr>
          <w:rFonts w:ascii="Times New Roman" w:hAnsi="Times New Roman" w:cs="Times New Roman"/>
          <w:noProof/>
          <w:sz w:val="24"/>
          <w:szCs w:val="24"/>
          <w:lang w:val="en-US"/>
        </w:rPr>
        <w:t>P</w:t>
      </w:r>
      <w:r w:rsidR="00A50723" w:rsidRPr="00F00B81">
        <w:rPr>
          <w:rFonts w:ascii="Times New Roman" w:hAnsi="Times New Roman" w:cs="Times New Roman"/>
          <w:noProof/>
          <w:sz w:val="24"/>
          <w:szCs w:val="24"/>
          <w:lang w:val="en-US"/>
        </w:rPr>
        <w:t>. 23–41.</w:t>
      </w:r>
      <w:r w:rsidR="00E53FDA" w:rsidRPr="0087133F">
        <w:rPr>
          <w:rFonts w:ascii="Times New Roman" w:eastAsia="Times New Roman" w:hAnsi="Times New Roman" w:cs="Times New Roman"/>
          <w:color w:val="000000"/>
          <w:sz w:val="24"/>
          <w:szCs w:val="24"/>
          <w:lang w:val="en-US"/>
        </w:rPr>
        <w:fldChar w:fldCharType="end"/>
      </w:r>
    </w:p>
    <w:sectPr w:rsidR="00CC43F0" w:rsidRPr="00A50723" w:rsidSect="00AC1B6B">
      <w:pgSz w:w="11906" w:h="16838"/>
      <w:pgMar w:top="1134" w:right="1361" w:bottom="1134" w:left="1361"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8D1B48" w16cex:dateUtc="2024-02-05T18:08:00Z"/>
  <w16cex:commentExtensible w16cex:durableId="06D9C4E9" w16cex:dateUtc="2024-02-05T18:16:00Z"/>
  <w16cex:commentExtensible w16cex:durableId="0DD9B4DF" w16cex:dateUtc="2024-02-05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37687" w16cid:durableId="038D1B48"/>
  <w16cid:commentId w16cid:paraId="6226DCFB" w16cid:durableId="06D9C4E9"/>
  <w16cid:commentId w16cid:paraId="1E136CA8" w16cid:durableId="0DD9B4DF"/>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50068"/>
    <w:multiLevelType w:val="hybridMultilevel"/>
    <w:tmpl w:val="8E80336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C43F0"/>
    <w:rsid w:val="00092AB2"/>
    <w:rsid w:val="000B6C33"/>
    <w:rsid w:val="000C07A5"/>
    <w:rsid w:val="000C3C8F"/>
    <w:rsid w:val="000F0ABF"/>
    <w:rsid w:val="00122C5D"/>
    <w:rsid w:val="00136044"/>
    <w:rsid w:val="00173148"/>
    <w:rsid w:val="001D3D49"/>
    <w:rsid w:val="001F1375"/>
    <w:rsid w:val="001F156C"/>
    <w:rsid w:val="00223A16"/>
    <w:rsid w:val="00233864"/>
    <w:rsid w:val="00236E3C"/>
    <w:rsid w:val="002B3AD0"/>
    <w:rsid w:val="003045F4"/>
    <w:rsid w:val="0031700C"/>
    <w:rsid w:val="003452F0"/>
    <w:rsid w:val="00371722"/>
    <w:rsid w:val="003C761D"/>
    <w:rsid w:val="00410768"/>
    <w:rsid w:val="004A24CE"/>
    <w:rsid w:val="004D1F17"/>
    <w:rsid w:val="004E767F"/>
    <w:rsid w:val="0053627F"/>
    <w:rsid w:val="0061643E"/>
    <w:rsid w:val="00620CF3"/>
    <w:rsid w:val="00624703"/>
    <w:rsid w:val="007135FA"/>
    <w:rsid w:val="00721108"/>
    <w:rsid w:val="00791258"/>
    <w:rsid w:val="00805D54"/>
    <w:rsid w:val="0087133F"/>
    <w:rsid w:val="008E5920"/>
    <w:rsid w:val="009856EE"/>
    <w:rsid w:val="009B2AFA"/>
    <w:rsid w:val="009C00CB"/>
    <w:rsid w:val="009D7531"/>
    <w:rsid w:val="00A21226"/>
    <w:rsid w:val="00A26BC9"/>
    <w:rsid w:val="00A50723"/>
    <w:rsid w:val="00A5310F"/>
    <w:rsid w:val="00AC1B6B"/>
    <w:rsid w:val="00B215CD"/>
    <w:rsid w:val="00BD32F0"/>
    <w:rsid w:val="00BD3F20"/>
    <w:rsid w:val="00BE0D98"/>
    <w:rsid w:val="00C22E6F"/>
    <w:rsid w:val="00C23AB6"/>
    <w:rsid w:val="00CC43F0"/>
    <w:rsid w:val="00CD4CD9"/>
    <w:rsid w:val="00CF0DED"/>
    <w:rsid w:val="00CF6D8E"/>
    <w:rsid w:val="00D12F23"/>
    <w:rsid w:val="00D157AF"/>
    <w:rsid w:val="00D2014F"/>
    <w:rsid w:val="00DA7543"/>
    <w:rsid w:val="00DE6807"/>
    <w:rsid w:val="00DE7FE8"/>
    <w:rsid w:val="00E15740"/>
    <w:rsid w:val="00E37057"/>
    <w:rsid w:val="00E470CD"/>
    <w:rsid w:val="00E53FDA"/>
    <w:rsid w:val="00EA48F3"/>
    <w:rsid w:val="00F00B81"/>
    <w:rsid w:val="00F76018"/>
    <w:rsid w:val="00FA2813"/>
    <w:rsid w:val="00FC0036"/>
    <w:rsid w:val="00FE5C8D"/>
    <w:rsid w:val="00FE6961"/>
    <w:rsid w:val="00FF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F0"/>
  </w:style>
  <w:style w:type="paragraph" w:styleId="1">
    <w:name w:val="heading 1"/>
    <w:basedOn w:val="a"/>
    <w:next w:val="a"/>
    <w:uiPriority w:val="9"/>
    <w:qFormat/>
    <w:rsid w:val="003452F0"/>
    <w:pPr>
      <w:keepNext/>
      <w:keepLines/>
      <w:spacing w:before="480" w:after="120"/>
      <w:outlineLvl w:val="0"/>
    </w:pPr>
    <w:rPr>
      <w:b/>
      <w:sz w:val="48"/>
      <w:szCs w:val="48"/>
    </w:rPr>
  </w:style>
  <w:style w:type="paragraph" w:styleId="2">
    <w:name w:val="heading 2"/>
    <w:basedOn w:val="a"/>
    <w:next w:val="a"/>
    <w:uiPriority w:val="9"/>
    <w:semiHidden/>
    <w:unhideWhenUsed/>
    <w:qFormat/>
    <w:rsid w:val="003452F0"/>
    <w:pPr>
      <w:keepNext/>
      <w:keepLines/>
      <w:spacing w:before="360" w:after="80"/>
      <w:outlineLvl w:val="1"/>
    </w:pPr>
    <w:rPr>
      <w:b/>
      <w:sz w:val="36"/>
      <w:szCs w:val="36"/>
    </w:rPr>
  </w:style>
  <w:style w:type="paragraph" w:styleId="3">
    <w:name w:val="heading 3"/>
    <w:basedOn w:val="a"/>
    <w:next w:val="a"/>
    <w:uiPriority w:val="9"/>
    <w:semiHidden/>
    <w:unhideWhenUsed/>
    <w:qFormat/>
    <w:rsid w:val="003452F0"/>
    <w:pPr>
      <w:keepNext/>
      <w:keepLines/>
      <w:spacing w:before="280" w:after="80"/>
      <w:outlineLvl w:val="2"/>
    </w:pPr>
    <w:rPr>
      <w:b/>
      <w:sz w:val="28"/>
      <w:szCs w:val="28"/>
    </w:rPr>
  </w:style>
  <w:style w:type="paragraph" w:styleId="4">
    <w:name w:val="heading 4"/>
    <w:basedOn w:val="a"/>
    <w:next w:val="a"/>
    <w:uiPriority w:val="9"/>
    <w:semiHidden/>
    <w:unhideWhenUsed/>
    <w:qFormat/>
    <w:rsid w:val="003452F0"/>
    <w:pPr>
      <w:keepNext/>
      <w:keepLines/>
      <w:spacing w:before="240" w:after="40"/>
      <w:outlineLvl w:val="3"/>
    </w:pPr>
    <w:rPr>
      <w:b/>
      <w:sz w:val="24"/>
      <w:szCs w:val="24"/>
    </w:rPr>
  </w:style>
  <w:style w:type="paragraph" w:styleId="5">
    <w:name w:val="heading 5"/>
    <w:basedOn w:val="a"/>
    <w:next w:val="a"/>
    <w:uiPriority w:val="9"/>
    <w:semiHidden/>
    <w:unhideWhenUsed/>
    <w:qFormat/>
    <w:rsid w:val="003452F0"/>
    <w:pPr>
      <w:keepNext/>
      <w:keepLines/>
      <w:spacing w:before="220" w:after="40"/>
      <w:outlineLvl w:val="4"/>
    </w:pPr>
    <w:rPr>
      <w:b/>
      <w:sz w:val="22"/>
      <w:szCs w:val="22"/>
    </w:rPr>
  </w:style>
  <w:style w:type="paragraph" w:styleId="6">
    <w:name w:val="heading 6"/>
    <w:basedOn w:val="a"/>
    <w:next w:val="a"/>
    <w:uiPriority w:val="9"/>
    <w:semiHidden/>
    <w:unhideWhenUsed/>
    <w:qFormat/>
    <w:rsid w:val="003452F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452F0"/>
    <w:tblPr>
      <w:tblCellMar>
        <w:top w:w="0" w:type="dxa"/>
        <w:left w:w="0" w:type="dxa"/>
        <w:bottom w:w="0" w:type="dxa"/>
        <w:right w:w="0" w:type="dxa"/>
      </w:tblCellMar>
    </w:tblPr>
  </w:style>
  <w:style w:type="paragraph" w:styleId="a3">
    <w:name w:val="Title"/>
    <w:basedOn w:val="a"/>
    <w:next w:val="a"/>
    <w:uiPriority w:val="10"/>
    <w:qFormat/>
    <w:rsid w:val="003452F0"/>
    <w:pPr>
      <w:keepNext/>
      <w:keepLines/>
      <w:spacing w:before="480" w:after="120"/>
    </w:pPr>
    <w:rPr>
      <w:b/>
      <w:sz w:val="72"/>
      <w:szCs w:val="72"/>
    </w:rPr>
  </w:style>
  <w:style w:type="paragraph" w:styleId="a4">
    <w:name w:val="Subtitle"/>
    <w:basedOn w:val="a"/>
    <w:next w:val="a"/>
    <w:uiPriority w:val="11"/>
    <w:qFormat/>
    <w:rsid w:val="003452F0"/>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223A16"/>
    <w:rPr>
      <w:rFonts w:ascii="Tahoma" w:hAnsi="Tahoma" w:cs="Tahoma"/>
      <w:sz w:val="16"/>
      <w:szCs w:val="16"/>
    </w:rPr>
  </w:style>
  <w:style w:type="character" w:customStyle="1" w:styleId="a6">
    <w:name w:val="Текст выноски Знак"/>
    <w:basedOn w:val="a0"/>
    <w:link w:val="a5"/>
    <w:uiPriority w:val="99"/>
    <w:semiHidden/>
    <w:rsid w:val="00223A16"/>
    <w:rPr>
      <w:rFonts w:ascii="Tahoma" w:hAnsi="Tahoma" w:cs="Tahoma"/>
      <w:sz w:val="16"/>
      <w:szCs w:val="16"/>
    </w:rPr>
  </w:style>
  <w:style w:type="paragraph" w:styleId="a7">
    <w:name w:val="Revision"/>
    <w:hidden/>
    <w:uiPriority w:val="99"/>
    <w:semiHidden/>
    <w:rsid w:val="00E470CD"/>
  </w:style>
  <w:style w:type="character" w:styleId="a8">
    <w:name w:val="annotation reference"/>
    <w:basedOn w:val="a0"/>
    <w:uiPriority w:val="99"/>
    <w:semiHidden/>
    <w:unhideWhenUsed/>
    <w:rsid w:val="009C00CB"/>
    <w:rPr>
      <w:sz w:val="16"/>
      <w:szCs w:val="16"/>
    </w:rPr>
  </w:style>
  <w:style w:type="paragraph" w:styleId="a9">
    <w:name w:val="annotation text"/>
    <w:basedOn w:val="a"/>
    <w:link w:val="aa"/>
    <w:uiPriority w:val="99"/>
    <w:unhideWhenUsed/>
    <w:rsid w:val="009C00CB"/>
  </w:style>
  <w:style w:type="character" w:customStyle="1" w:styleId="aa">
    <w:name w:val="Текст примечания Знак"/>
    <w:basedOn w:val="a0"/>
    <w:link w:val="a9"/>
    <w:uiPriority w:val="99"/>
    <w:rsid w:val="009C00CB"/>
  </w:style>
  <w:style w:type="paragraph" w:styleId="ab">
    <w:name w:val="annotation subject"/>
    <w:basedOn w:val="a9"/>
    <w:next w:val="a9"/>
    <w:link w:val="ac"/>
    <w:uiPriority w:val="99"/>
    <w:semiHidden/>
    <w:unhideWhenUsed/>
    <w:rsid w:val="009C00CB"/>
    <w:rPr>
      <w:b/>
      <w:bCs/>
    </w:rPr>
  </w:style>
  <w:style w:type="character" w:customStyle="1" w:styleId="ac">
    <w:name w:val="Тема примечания Знак"/>
    <w:basedOn w:val="aa"/>
    <w:link w:val="ab"/>
    <w:uiPriority w:val="99"/>
    <w:semiHidden/>
    <w:rsid w:val="009C00CB"/>
    <w:rPr>
      <w:b/>
      <w:bCs/>
    </w:rPr>
  </w:style>
  <w:style w:type="character" w:styleId="ad">
    <w:name w:val="Hyperlink"/>
    <w:basedOn w:val="a0"/>
    <w:uiPriority w:val="99"/>
    <w:unhideWhenUsed/>
    <w:rsid w:val="00C22E6F"/>
    <w:rPr>
      <w:color w:val="0000FF" w:themeColor="hyperlink"/>
      <w:u w:val="single"/>
    </w:rPr>
  </w:style>
  <w:style w:type="character" w:customStyle="1" w:styleId="UnresolvedMention">
    <w:name w:val="Unresolved Mention"/>
    <w:basedOn w:val="a0"/>
    <w:uiPriority w:val="99"/>
    <w:semiHidden/>
    <w:unhideWhenUsed/>
    <w:rsid w:val="00C22E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1AE2-CD95-40FE-9B7C-017580B2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Tatiana Dubinina</cp:lastModifiedBy>
  <cp:revision>2</cp:revision>
  <dcterms:created xsi:type="dcterms:W3CDTF">2024-03-06T23:00:00Z</dcterms:created>
  <dcterms:modified xsi:type="dcterms:W3CDTF">2024-03-06T23:00:00Z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992791ec-7e63-317f-8858-fdf8a4f0ce59</vt:lpwstr>
  </property>
  <property fmtid="{D5CDD505-2E9C-101B-9397-08002B2CF9AE}" pid="4" name="Mendeley Citation Style_1">
    <vt:lpwstr>http://csl.mendeley.com/styles/605996371/GOST-custom-Boris-2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http://csl.mendeley.com/styles/605996371/GOST-custom-Boris-2</vt:lpwstr>
  </property>
  <property fmtid="{D5CDD505-2E9C-101B-9397-08002B2CF9AE}" pid="24" name="Mendeley Recent Style Name 9_1">
    <vt:lpwstr>ГОСТ-custom-Boris</vt:lpwstr>
  </property>
</Properties>
</file>