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ru-RU"/>
        </w:rPr>
      </w:pPr>
      <w:r>
        <w:rPr>
          <w:rFonts w:hint="default" w:ascii="Times New Roman Regular" w:hAnsi="Times New Roman Regular" w:cs="Times New Roman Regular"/>
          <w:b/>
          <w:bCs/>
          <w:szCs w:val="24"/>
          <w:lang w:val="ru-RU"/>
        </w:rPr>
        <w:t xml:space="preserve">Адсорбция </w:t>
      </w:r>
      <w:r>
        <w:rPr>
          <w:rFonts w:hint="default" w:ascii="Times New Roman Regular" w:hAnsi="Times New Roman Regular" w:cs="Times New Roman Regular"/>
          <w:b/>
          <w:bCs/>
          <w:szCs w:val="24"/>
          <w:lang w:val="en-US"/>
        </w:rPr>
        <w:t>N-</w:t>
      </w:r>
      <w:r>
        <w:rPr>
          <w:rFonts w:hint="default" w:ascii="Times New Roman Regular" w:hAnsi="Times New Roman Regular" w:cs="Times New Roman Regular"/>
          <w:b/>
          <w:bCs/>
          <w:szCs w:val="24"/>
          <w:lang w:val="ru-RU"/>
        </w:rPr>
        <w:t>лаурилсаркозината натрия на активированных углях из молодого бамбука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ru-RU"/>
        </w:rPr>
      </w:pPr>
      <w:r>
        <w:rPr>
          <w:rFonts w:hint="default" w:ascii="Times New Roman Regular" w:hAnsi="Times New Roman Regular" w:cs="Times New Roman Regular"/>
          <w:b/>
          <w:bCs/>
          <w:i/>
          <w:iCs/>
          <w:szCs w:val="24"/>
        </w:rPr>
        <w:t>Кангина О.А.</w:t>
      </w:r>
      <w:r>
        <w:rPr>
          <w:rFonts w:hint="default" w:ascii="Times New Roman Regular" w:hAnsi="Times New Roman Regular" w:cs="Times New Roman Regular"/>
          <w:b/>
          <w:bCs/>
          <w:i/>
          <w:iCs/>
          <w:szCs w:val="24"/>
          <w:lang w:val="ru-RU"/>
        </w:rPr>
        <w:t>, Криулина В.Д.</w:t>
      </w: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ru-RU"/>
        </w:rPr>
      </w:pPr>
      <w:r>
        <w:rPr>
          <w:i/>
          <w:color w:val="000000"/>
          <w:lang w:val="ru-RU"/>
        </w:rPr>
        <w:t>Аспирант</w:t>
      </w:r>
      <w:r>
        <w:rPr>
          <w:i/>
          <w:color w:val="000000"/>
        </w:rPr>
        <w:t xml:space="preserve">, </w:t>
      </w:r>
      <w:r>
        <w:rPr>
          <w:rFonts w:hint="default"/>
          <w:i/>
          <w:color w:val="000000"/>
          <w:lang w:val="ru-RU"/>
        </w:rPr>
        <w:t>2</w:t>
      </w:r>
      <w:r>
        <w:rPr>
          <w:i/>
          <w:color w:val="000000"/>
        </w:rPr>
        <w:t xml:space="preserve"> </w:t>
      </w:r>
      <w:r>
        <w:rPr>
          <w:i/>
          <w:color w:val="000000"/>
          <w:lang w:val="ru-RU"/>
        </w:rPr>
        <w:t>год</w:t>
      </w:r>
      <w:r>
        <w:rPr>
          <w:rFonts w:hint="default"/>
          <w:i/>
          <w:color w:val="000000"/>
          <w:lang w:val="ru-RU"/>
        </w:rPr>
        <w:t xml:space="preserve"> обучения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rFonts w:hint="default" w:ascii="Times New Roman Regular" w:hAnsi="Times New Roman Regular" w:cs="Times New Roman Regular"/>
          <w:i/>
          <w:iCs/>
          <w:color w:val="000000"/>
          <w:sz w:val="24"/>
          <w:szCs w:val="24"/>
          <w:lang w:val="en-US"/>
        </w:rPr>
        <w:t>E</w:t>
      </w:r>
      <w:r>
        <w:rPr>
          <w:rFonts w:hint="default" w:ascii="Times New Roman Regular" w:hAnsi="Times New Roman Regular" w:cs="Times New Roman Regular"/>
          <w:i/>
          <w:iCs/>
          <w:color w:val="000000"/>
          <w:sz w:val="24"/>
          <w:szCs w:val="24"/>
        </w:rPr>
        <w:t>-</w:t>
      </w:r>
      <w:r>
        <w:rPr>
          <w:rFonts w:hint="default" w:ascii="Times New Roman Regular" w:hAnsi="Times New Roman Regular" w:cs="Times New Roman Regular"/>
          <w:i/>
          <w:iCs/>
          <w:color w:val="000000"/>
          <w:sz w:val="24"/>
          <w:szCs w:val="24"/>
          <w:lang w:val="en-US"/>
        </w:rPr>
        <w:t>mail</w:t>
      </w:r>
      <w:r>
        <w:rPr>
          <w:rFonts w:hint="default" w:ascii="Times New Roman Regular" w:hAnsi="Times New Roman Regular" w:cs="Times New Roman Regular"/>
          <w:i/>
          <w:iCs/>
          <w:color w:val="000000"/>
          <w:sz w:val="24"/>
          <w:szCs w:val="24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</w:rPr>
        <w:fldChar w:fldCharType="begin"/>
      </w:r>
      <w:r>
        <w:rPr>
          <w:rFonts w:hint="default" w:ascii="Times New Roman Regular" w:hAnsi="Times New Roman Regular" w:cs="Times New Roman Regular"/>
          <w:sz w:val="24"/>
          <w:szCs w:val="24"/>
        </w:rPr>
        <w:instrText xml:space="preserve"> HYPERLINK "mailto:kangina1998@mail.ru" </w:instrText>
      </w:r>
      <w:r>
        <w:rPr>
          <w:rFonts w:hint="default" w:ascii="Times New Roman Regular" w:hAnsi="Times New Roman Regular" w:cs="Times New Roman Regular"/>
          <w:sz w:val="24"/>
          <w:szCs w:val="24"/>
        </w:rPr>
        <w:fldChar w:fldCharType="separate"/>
      </w:r>
      <w:r>
        <w:rPr>
          <w:rStyle w:val="10"/>
          <w:rFonts w:hint="default" w:ascii="Times New Roman Regular" w:hAnsi="Times New Roman Regular" w:cs="Times New Roman Regular"/>
          <w:i/>
          <w:iCs/>
          <w:sz w:val="24"/>
          <w:szCs w:val="24"/>
          <w:lang w:val="en-US"/>
        </w:rPr>
        <w:t>kangina</w:t>
      </w:r>
      <w:r>
        <w:rPr>
          <w:rStyle w:val="10"/>
          <w:rFonts w:hint="default" w:ascii="Times New Roman Regular" w:hAnsi="Times New Roman Regular" w:cs="Times New Roman Regular"/>
          <w:i/>
          <w:iCs/>
          <w:sz w:val="24"/>
          <w:szCs w:val="24"/>
        </w:rPr>
        <w:t>1998@</w:t>
      </w:r>
      <w:r>
        <w:rPr>
          <w:rStyle w:val="10"/>
          <w:rFonts w:hint="default" w:ascii="Times New Roman Regular" w:hAnsi="Times New Roman Regular" w:cs="Times New Roman Regular"/>
          <w:i/>
          <w:iCs/>
          <w:sz w:val="24"/>
          <w:szCs w:val="24"/>
          <w:lang w:val="en-US"/>
        </w:rPr>
        <w:t>mail</w:t>
      </w:r>
      <w:r>
        <w:rPr>
          <w:rStyle w:val="10"/>
          <w:rFonts w:hint="default" w:ascii="Times New Roman Regular" w:hAnsi="Times New Roman Regular" w:cs="Times New Roman Regular"/>
          <w:i/>
          <w:iCs/>
          <w:sz w:val="24"/>
          <w:szCs w:val="24"/>
        </w:rPr>
        <w:t>.</w:t>
      </w:r>
      <w:r>
        <w:rPr>
          <w:rStyle w:val="10"/>
          <w:rFonts w:hint="default" w:ascii="Times New Roman Regular" w:hAnsi="Times New Roman Regular" w:cs="Times New Roman Regular"/>
          <w:i/>
          <w:iCs/>
          <w:sz w:val="24"/>
          <w:szCs w:val="24"/>
          <w:lang w:val="en-US"/>
        </w:rPr>
        <w:t>ru</w:t>
      </w:r>
      <w:r>
        <w:rPr>
          <w:rStyle w:val="10"/>
          <w:rFonts w:hint="default" w:ascii="Times New Roman Regular" w:hAnsi="Times New Roman Regular" w:cs="Times New Roman Regular"/>
          <w:i/>
          <w:iCs/>
          <w:sz w:val="24"/>
          <w:szCs w:val="24"/>
          <w:lang w:val="en-US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Активированный</w:t>
      </w:r>
      <w:r>
        <w:rPr>
          <w:rFonts w:hint="default"/>
          <w:color w:val="000000"/>
          <w:lang w:val="ru-RU"/>
        </w:rPr>
        <w:t xml:space="preserve"> уголь (АУ) - эффективный и недорогой сорбент, широко используется в промышленности для очистки воды от тяжелых металлов и органических веществ. Биоразлагаемые анионные поверхностно-активные вещества (ПАВ), как известно, входят в состав моющих и бытовых средств. Сложность в исследовании их адсорбции - отсутствие прямого метода определения концентрации веществ. Таким образом, актуальностью и целью данной работы является изучение адсорбции меченных анионных ПАВ на активированных углях из бамбука.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 xml:space="preserve">На примере </w:t>
      </w:r>
      <w:r>
        <w:rPr>
          <w:rFonts w:hint="default"/>
          <w:color w:val="000000"/>
          <w:lang w:val="en-US"/>
        </w:rPr>
        <w:t>N-</w:t>
      </w:r>
      <w:r>
        <w:rPr>
          <w:rFonts w:hint="default"/>
          <w:color w:val="000000"/>
          <w:lang w:val="ru-RU"/>
        </w:rPr>
        <w:t xml:space="preserve">лаурилсаркозината натрия рассмотрен процесс адсорбции на активированных углях из молодого бамбука. Поверхность АУ дополнительно была модифицирована сульфатом ацетата целюлозы (САЦ) </w:t>
      </w:r>
      <w:r>
        <w:rPr>
          <w:rFonts w:hint="default"/>
          <w:color w:val="000000"/>
          <w:lang w:val="en-US"/>
        </w:rPr>
        <w:t>[1]</w:t>
      </w:r>
      <w:r>
        <w:rPr>
          <w:rFonts w:hint="default"/>
          <w:color w:val="000000"/>
          <w:lang w:val="ru-RU"/>
        </w:rPr>
        <w:t xml:space="preserve">. В работе использовались меченные тритием </w:t>
      </w:r>
      <w:r>
        <w:rPr>
          <w:rFonts w:hint="default"/>
          <w:color w:val="000000"/>
          <w:lang w:val="en-US"/>
        </w:rPr>
        <w:t>N</w:t>
      </w:r>
      <w:r>
        <w:rPr>
          <w:rFonts w:hint="default"/>
          <w:color w:val="000000"/>
          <w:lang w:val="ru-RU"/>
        </w:rPr>
        <w:t>-лаурилсаркозинат натрия и САЦ, полученные методом термической активации трития</w:t>
      </w:r>
      <w:r>
        <w:rPr>
          <w:rFonts w:hint="default"/>
          <w:color w:val="000000"/>
          <w:lang w:val="en-US"/>
        </w:rPr>
        <w:t xml:space="preserve"> [2]</w:t>
      </w:r>
      <w:r>
        <w:rPr>
          <w:rFonts w:hint="default"/>
          <w:color w:val="000000"/>
          <w:lang w:val="ru-RU"/>
        </w:rPr>
        <w:t>. Все образцы углей были охарактеризованы методом низкотемпературной адсорбции-десорбции азота.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Эксперимент по адсорбции был проведен в трех повторностях. Построенная зависимость адсорбции от концентрации анионного ПАВ на активированных углях схожа и необратима. Для описания изотермы было использовано уравнение Ленгмюра. Определено, что максимальная адсорбция достигает 1,7 ммоль/г при концентрации анионного ПАВ 20 мкмоль/мл и выходит на плато. Наблюдаемая десорбция полимера находится в диапазоне от 1 до 8%.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 xml:space="preserve">Для изучения равновесия в процессе была построена кинетическая зависимость адсорбции от концентрации </w:t>
      </w:r>
      <w:r>
        <w:rPr>
          <w:rFonts w:hint="default"/>
          <w:color w:val="000000"/>
          <w:lang w:val="en-US"/>
        </w:rPr>
        <w:t>N</w:t>
      </w:r>
      <w:r>
        <w:rPr>
          <w:rFonts w:hint="default"/>
          <w:color w:val="000000"/>
          <w:lang w:val="ru-RU"/>
        </w:rPr>
        <w:t>-лаурилсаркозината натрия. Эксперимент проводили в течении 10 дней. Установлено, что равновесие достигается на четвертый день, остальные результаты находятся в пределе погрешности.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Изучена адсорбция на модифицированном САЦ активированном угле. Эксперимент также проводили в течении 10 дней со снятием контрольных точек. Предварительное нанесение САЦ показало, что максимальное значение адсорбции увеличивалось со временем и достигло 1,7 ммоль/г при 29 мкмоль/мл. Таким образом, можно предположить, что модифицирование не влияет на процесс адсорбции.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Савицкая Т.А., Невар Т.Н., Цыганкова Н.Г., et al.</w:t>
      </w:r>
      <w:r>
        <w:rPr>
          <w:rFonts w:ascii="Times New Roman" w:hAnsi="Times New Roman" w:cs="Times New Roman"/>
          <w:sz w:val="24"/>
          <w:szCs w:val="24"/>
        </w:rPr>
        <w:t xml:space="preserve"> Сорбенты на основе активированного угля и гдролизного лигнина: структура, свойства, применение // Свиридовские чтения / ed. Ивашкевич О.А. Минск: БГУ, 2015. P. 132–143</w:t>
      </w:r>
      <w:r>
        <w:rPr>
          <w:color w:val="000000"/>
          <w:lang w:val="en-US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Бадун Г.А., Чернышева М.Г.</w:t>
      </w:r>
      <w:r>
        <w:rPr>
          <w:rFonts w:ascii="Times New Roman" w:hAnsi="Times New Roman" w:cs="Times New Roman"/>
          <w:sz w:val="24"/>
          <w:szCs w:val="24"/>
        </w:rPr>
        <w:t xml:space="preserve"> Метод термической активации трития. Особенности примеения, современные достижения и дальнейшие перспективы развития // Радиохимия. 2023. V. 65. № 2. P. 158–171</w:t>
      </w:r>
      <w:r>
        <w:rPr>
          <w:lang w:val="en-US"/>
        </w:rPr>
        <w:t>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1AED2150"/>
    <w:rsid w:val="47EFE21E"/>
    <w:rsid w:val="6F939E65"/>
    <w:rsid w:val="7AD29038"/>
    <w:rsid w:val="90E6DFA4"/>
    <w:rsid w:val="B3535096"/>
    <w:rsid w:val="BF7F3269"/>
    <w:rsid w:val="E355A478"/>
    <w:rsid w:val="EF77986E"/>
    <w:rsid w:val="F7F793C5"/>
    <w:rsid w:val="FEEB6E4D"/>
    <w:rsid w:val="FF7FEF03"/>
    <w:rsid w:val="FFF3943F"/>
    <w:rsid w:val="FFFFF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5">
    <w:name w:val="Абзац списка Знак"/>
    <w:basedOn w:val="8"/>
    <w:link w:val="14"/>
    <w:locked/>
    <w:uiPriority w:val="34"/>
  </w:style>
  <w:style w:type="character" w:styleId="16">
    <w:name w:val="Placeholder Text"/>
    <w:basedOn w:val="8"/>
    <w:semiHidden/>
    <w:uiPriority w:val="99"/>
    <w:rPr>
      <w:color w:val="808080"/>
    </w:rPr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8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2</Pages>
  <Words>732</Words>
  <Characters>4173</Characters>
  <Lines>34</Lines>
  <Paragraphs>9</Paragraphs>
  <TotalTime>17</TotalTime>
  <ScaleCrop>false</ScaleCrop>
  <LinksUpToDate>false</LinksUpToDate>
  <CharactersWithSpaces>4896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2022-11-07T15:18:00Z</dcterms:created>
  <dc:creator>Data</dc:creator>
  <cp:lastModifiedBy>OlgaKangina</cp:lastModifiedBy>
  <dcterms:modified xsi:type="dcterms:W3CDTF">2024-02-26T13:19:01Z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1033-5.6.0.8082</vt:lpwstr>
  </property>
</Properties>
</file>