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AEF94" w14:textId="5D8B0991" w:rsidR="004839CA" w:rsidRPr="004839CA" w:rsidRDefault="006D354F">
      <w:pPr>
        <w:pBdr>
          <w:top w:val="nil"/>
          <w:left w:val="nil"/>
          <w:bottom w:val="nil"/>
          <w:right w:val="nil"/>
          <w:between w:val="nil"/>
        </w:pBdr>
        <w:shd w:val="clear" w:color="auto" w:fill="FFFFFF"/>
        <w:jc w:val="center"/>
        <w:rPr>
          <w:b/>
          <w:color w:val="000000"/>
        </w:rPr>
      </w:pPr>
      <w:r w:rsidRPr="006D354F">
        <w:rPr>
          <w:b/>
          <w:color w:val="000000"/>
        </w:rPr>
        <w:t xml:space="preserve">Исследование кинетики жидкостной экстракции f-элементов </w:t>
      </w:r>
      <w:proofErr w:type="gramStart"/>
      <w:r w:rsidRPr="006D354F">
        <w:rPr>
          <w:b/>
          <w:color w:val="000000"/>
        </w:rPr>
        <w:t>N,O</w:t>
      </w:r>
      <w:proofErr w:type="gramEnd"/>
      <w:r w:rsidRPr="006D354F">
        <w:rPr>
          <w:b/>
          <w:color w:val="000000"/>
        </w:rPr>
        <w:t xml:space="preserve">-донорными </w:t>
      </w:r>
      <w:proofErr w:type="spellStart"/>
      <w:r w:rsidRPr="006D354F">
        <w:rPr>
          <w:b/>
          <w:color w:val="000000"/>
        </w:rPr>
        <w:t>лигандами</w:t>
      </w:r>
      <w:proofErr w:type="spellEnd"/>
      <w:r w:rsidRPr="006D354F">
        <w:rPr>
          <w:b/>
          <w:color w:val="000000"/>
        </w:rPr>
        <w:t xml:space="preserve"> на основе </w:t>
      </w:r>
      <w:proofErr w:type="spellStart"/>
      <w:r w:rsidRPr="006D354F">
        <w:rPr>
          <w:b/>
          <w:color w:val="000000"/>
        </w:rPr>
        <w:t>фенантролина</w:t>
      </w:r>
      <w:proofErr w:type="spellEnd"/>
      <w:r w:rsidRPr="006D354F">
        <w:rPr>
          <w:b/>
          <w:color w:val="000000"/>
        </w:rPr>
        <w:t xml:space="preserve"> и </w:t>
      </w:r>
      <w:proofErr w:type="spellStart"/>
      <w:r w:rsidRPr="006D354F">
        <w:rPr>
          <w:b/>
          <w:color w:val="000000"/>
        </w:rPr>
        <w:t>бипиридила</w:t>
      </w:r>
      <w:proofErr w:type="spellEnd"/>
    </w:p>
    <w:p w14:paraId="00000002" w14:textId="5FB353A2" w:rsidR="00130241" w:rsidRPr="0070321A" w:rsidRDefault="006D354F">
      <w:pPr>
        <w:pBdr>
          <w:top w:val="nil"/>
          <w:left w:val="nil"/>
          <w:bottom w:val="nil"/>
          <w:right w:val="nil"/>
          <w:between w:val="nil"/>
        </w:pBdr>
        <w:shd w:val="clear" w:color="auto" w:fill="FFFFFF"/>
        <w:jc w:val="center"/>
      </w:pPr>
      <w:r w:rsidRPr="0070321A">
        <w:rPr>
          <w:b/>
          <w:i/>
        </w:rPr>
        <w:t>Павлова Е.А.,</w:t>
      </w:r>
      <w:r w:rsidRPr="0070321A">
        <w:rPr>
          <w:i/>
        </w:rPr>
        <w:t xml:space="preserve"> </w:t>
      </w:r>
      <w:proofErr w:type="spellStart"/>
      <w:r w:rsidRPr="0070321A">
        <w:rPr>
          <w:b/>
          <w:i/>
        </w:rPr>
        <w:t>Конопкина</w:t>
      </w:r>
      <w:proofErr w:type="spellEnd"/>
      <w:r w:rsidRPr="0070321A">
        <w:rPr>
          <w:b/>
          <w:i/>
        </w:rPr>
        <w:t xml:space="preserve"> E.A.</w:t>
      </w:r>
    </w:p>
    <w:p w14:paraId="00000003" w14:textId="5B3B84E2" w:rsidR="00130241" w:rsidRDefault="006D354F">
      <w:pPr>
        <w:pBdr>
          <w:top w:val="nil"/>
          <w:left w:val="nil"/>
          <w:bottom w:val="nil"/>
          <w:right w:val="nil"/>
          <w:between w:val="nil"/>
        </w:pBdr>
        <w:shd w:val="clear" w:color="auto" w:fill="FFFFFF"/>
        <w:jc w:val="center"/>
        <w:rPr>
          <w:color w:val="000000"/>
        </w:rPr>
      </w:pPr>
      <w:r>
        <w:rPr>
          <w:i/>
          <w:color w:val="000000"/>
        </w:rPr>
        <w:t>Студент</w:t>
      </w:r>
      <w:r w:rsidR="00EB1F49">
        <w:rPr>
          <w:i/>
          <w:color w:val="000000"/>
        </w:rPr>
        <w:t xml:space="preserve">, </w:t>
      </w:r>
      <w:r>
        <w:rPr>
          <w:i/>
          <w:color w:val="000000"/>
        </w:rPr>
        <w:t>4</w:t>
      </w:r>
      <w:r w:rsidR="00EB1F49">
        <w:rPr>
          <w:i/>
          <w:color w:val="000000"/>
        </w:rPr>
        <w:t xml:space="preserve"> </w:t>
      </w:r>
      <w:r>
        <w:rPr>
          <w:i/>
          <w:color w:val="000000"/>
        </w:rPr>
        <w:t>курс</w:t>
      </w:r>
      <w:r w:rsidR="00EB1F49">
        <w:rPr>
          <w:i/>
          <w:color w:val="000000"/>
        </w:rPr>
        <w:t xml:space="preserve"> </w:t>
      </w:r>
      <w:r>
        <w:rPr>
          <w:i/>
          <w:color w:val="000000"/>
        </w:rPr>
        <w:t>специалитета</w:t>
      </w:r>
    </w:p>
    <w:p w14:paraId="00000004" w14:textId="51320FBC" w:rsidR="00130241" w:rsidRPr="00921D45" w:rsidRDefault="00EB1F49">
      <w:pPr>
        <w:pBdr>
          <w:top w:val="nil"/>
          <w:left w:val="nil"/>
          <w:bottom w:val="nil"/>
          <w:right w:val="nil"/>
          <w:between w:val="nil"/>
        </w:pBdr>
        <w:shd w:val="clear" w:color="auto" w:fill="FFFFFF"/>
        <w:jc w:val="center"/>
        <w:rPr>
          <w:color w:val="000000"/>
        </w:rPr>
      </w:pPr>
      <w:r>
        <w:rPr>
          <w:i/>
          <w:color w:val="000000"/>
        </w:rPr>
        <w:t>Московский государственный университет имени М.В.</w:t>
      </w:r>
      <w:r w:rsidR="00921D45">
        <w:rPr>
          <w:i/>
          <w:color w:val="000000"/>
        </w:rPr>
        <w:t xml:space="preserve"> </w:t>
      </w:r>
      <w:r>
        <w:rPr>
          <w:i/>
          <w:color w:val="000000"/>
        </w:rPr>
        <w:t>Ломоносова, </w:t>
      </w:r>
    </w:p>
    <w:p w14:paraId="00000007" w14:textId="2E3BD5D3" w:rsidR="00130241" w:rsidRDefault="00391C38" w:rsidP="00D013BB">
      <w:pPr>
        <w:pBdr>
          <w:top w:val="nil"/>
          <w:left w:val="nil"/>
          <w:bottom w:val="nil"/>
          <w:right w:val="nil"/>
          <w:between w:val="nil"/>
        </w:pBdr>
        <w:shd w:val="clear" w:color="auto" w:fill="FFFFFF"/>
        <w:jc w:val="center"/>
        <w:rPr>
          <w:i/>
          <w:color w:val="000000"/>
        </w:rPr>
      </w:pPr>
      <w:r>
        <w:rPr>
          <w:i/>
          <w:color w:val="000000"/>
        </w:rPr>
        <w:t>химический</w:t>
      </w:r>
      <w:r w:rsidR="00EB1F49">
        <w:rPr>
          <w:i/>
          <w:color w:val="000000"/>
        </w:rPr>
        <w:t xml:space="preserve"> факультет, Москва, Россия</w:t>
      </w:r>
    </w:p>
    <w:p w14:paraId="4E4A1CA1" w14:textId="1A2076E3" w:rsidR="00E22189" w:rsidRPr="006D354F" w:rsidRDefault="00EB1F49" w:rsidP="0021717B">
      <w:pPr>
        <w:pBdr>
          <w:top w:val="nil"/>
          <w:left w:val="nil"/>
          <w:bottom w:val="nil"/>
          <w:right w:val="nil"/>
          <w:between w:val="nil"/>
        </w:pBdr>
        <w:shd w:val="clear" w:color="auto" w:fill="FFFFFF"/>
        <w:jc w:val="center"/>
        <w:rPr>
          <w:i/>
          <w:color w:val="000000"/>
        </w:rPr>
      </w:pPr>
      <w:r w:rsidRPr="006D354F">
        <w:rPr>
          <w:i/>
          <w:color w:val="000000"/>
        </w:rPr>
        <w:t>E</w:t>
      </w:r>
      <w:r w:rsidR="003B76D6" w:rsidRPr="006D354F">
        <w:rPr>
          <w:i/>
          <w:color w:val="000000"/>
        </w:rPr>
        <w:t>-</w:t>
      </w:r>
      <w:r w:rsidRPr="006D354F">
        <w:rPr>
          <w:i/>
          <w:color w:val="000000"/>
        </w:rPr>
        <w:t xml:space="preserve">mail: </w:t>
      </w:r>
      <w:r w:rsidR="006D354F" w:rsidRPr="006D354F">
        <w:rPr>
          <w:i/>
          <w:color w:val="000000"/>
        </w:rPr>
        <w:t>elizpava@yandex.ru</w:t>
      </w:r>
    </w:p>
    <w:p w14:paraId="43A2FB78" w14:textId="72684116" w:rsidR="006D354F" w:rsidRDefault="006D354F" w:rsidP="0070321A">
      <w:pPr>
        <w:autoSpaceDE w:val="0"/>
        <w:autoSpaceDN w:val="0"/>
        <w:adjustRightInd w:val="0"/>
        <w:ind w:firstLine="397"/>
        <w:jc w:val="both"/>
      </w:pPr>
      <w:r>
        <w:t xml:space="preserve">Переработка </w:t>
      </w:r>
      <w:r w:rsidR="00C05B28">
        <w:t>высокоактивных отходов</w:t>
      </w:r>
      <w:r>
        <w:t xml:space="preserve"> в рамках ядерно-топливного цикла предполагает разделение таких компонентов как </w:t>
      </w:r>
      <w:proofErr w:type="spellStart"/>
      <w:r>
        <w:t>An</w:t>
      </w:r>
      <w:proofErr w:type="spellEnd"/>
      <w:r>
        <w:t>(III)/</w:t>
      </w:r>
      <w:proofErr w:type="spellStart"/>
      <w:r>
        <w:t>Ln</w:t>
      </w:r>
      <w:proofErr w:type="spellEnd"/>
      <w:r>
        <w:t>(III). Одним из наиболее изученных и эффективных методов разделения многокомпонентных систем является жидкостная экстракция.</w:t>
      </w:r>
    </w:p>
    <w:p w14:paraId="2C4A12B6" w14:textId="7DA2D7CF" w:rsidR="002F3641" w:rsidRDefault="002674D7" w:rsidP="0070321A">
      <w:pPr>
        <w:autoSpaceDE w:val="0"/>
        <w:autoSpaceDN w:val="0"/>
        <w:adjustRightInd w:val="0"/>
        <w:ind w:firstLine="397"/>
        <w:jc w:val="both"/>
      </w:pPr>
      <w:r>
        <w:t>В</w:t>
      </w:r>
      <w:r w:rsidR="006D354F">
        <w:t xml:space="preserve"> промышленности </w:t>
      </w:r>
      <w:r>
        <w:t xml:space="preserve">для экстракции в динамическом режиме </w:t>
      </w:r>
      <w:r w:rsidR="006D354F">
        <w:t>используются смесители</w:t>
      </w:r>
      <w:r>
        <w:t>-</w:t>
      </w:r>
      <w:r w:rsidR="006D354F">
        <w:t>отстойники и ц</w:t>
      </w:r>
      <w:r w:rsidR="009D2869">
        <w:t xml:space="preserve">ентробежные экстракторы. </w:t>
      </w:r>
      <w:r w:rsidR="006D354F">
        <w:t xml:space="preserve">Центробежные экстракторы имеют значительные преимущества перед </w:t>
      </w:r>
      <w:r w:rsidR="009D2869">
        <w:t>смесителями-</w:t>
      </w:r>
      <w:r w:rsidR="006D354F">
        <w:t>отстойниками</w:t>
      </w:r>
      <w:r w:rsidR="009D2869">
        <w:t>,</w:t>
      </w:r>
      <w:r w:rsidR="006D354F">
        <w:t xml:space="preserve"> </w:t>
      </w:r>
      <w:r>
        <w:t xml:space="preserve">одно из которых </w:t>
      </w:r>
      <w:r w:rsidR="00844E31">
        <w:t>–</w:t>
      </w:r>
      <w:r>
        <w:t xml:space="preserve"> </w:t>
      </w:r>
      <w:r w:rsidR="006D354F">
        <w:t>короткое время контакта фаз</w:t>
      </w:r>
      <w:r w:rsidR="000631B3">
        <w:t>.</w:t>
      </w:r>
      <w:r w:rsidR="006D354F">
        <w:t xml:space="preserve"> </w:t>
      </w:r>
      <w:r w:rsidR="000631B3">
        <w:t>Э</w:t>
      </w:r>
      <w:r w:rsidR="006D354F">
        <w:t>то позволяет уменьшить деградаци</w:t>
      </w:r>
      <w:r>
        <w:t>ю</w:t>
      </w:r>
      <w:r w:rsidR="006D354F">
        <w:t xml:space="preserve"> </w:t>
      </w:r>
      <w:r>
        <w:t>системы вследствие</w:t>
      </w:r>
      <w:r w:rsidR="009D2869">
        <w:t xml:space="preserve"> р</w:t>
      </w:r>
      <w:r w:rsidR="000631B3">
        <w:t>адиолиза, но</w:t>
      </w:r>
      <w:r w:rsidR="006D354F">
        <w:t xml:space="preserve"> накладывает ограничения </w:t>
      </w:r>
      <w:r w:rsidR="009D2869">
        <w:t xml:space="preserve">на </w:t>
      </w:r>
      <w:r>
        <w:t xml:space="preserve">минимальную </w:t>
      </w:r>
      <w:r w:rsidR="009D2869">
        <w:t>скорость протекания экстракции</w:t>
      </w:r>
      <w:r w:rsidR="000631B3">
        <w:t>.</w:t>
      </w:r>
      <w:r w:rsidR="006D354F">
        <w:t xml:space="preserve"> </w:t>
      </w:r>
      <w:r w:rsidR="000631B3">
        <w:t>Поэтому необходимо</w:t>
      </w:r>
      <w:r w:rsidR="006D354F">
        <w:t xml:space="preserve"> искать наиболее </w:t>
      </w:r>
      <w:r>
        <w:t>«</w:t>
      </w:r>
      <w:r w:rsidR="006D354F">
        <w:t>быстрые</w:t>
      </w:r>
      <w:r>
        <w:t>»</w:t>
      </w:r>
      <w:r w:rsidR="006D354F">
        <w:t xml:space="preserve"> экстрагенты и исследовать кинетику </w:t>
      </w:r>
      <w:r w:rsidR="009D2869">
        <w:t>процесса</w:t>
      </w:r>
      <w:r w:rsidR="006D354F">
        <w:t>.</w:t>
      </w:r>
    </w:p>
    <w:p w14:paraId="569729DA" w14:textId="0C17067B" w:rsidR="00806C7A" w:rsidRDefault="002F3641" w:rsidP="0070321A">
      <w:pPr>
        <w:autoSpaceDE w:val="0"/>
        <w:autoSpaceDN w:val="0"/>
        <w:adjustRightInd w:val="0"/>
        <w:ind w:firstLine="397"/>
        <w:jc w:val="both"/>
      </w:pPr>
      <w:r>
        <w:t xml:space="preserve">Мягкие донорные </w:t>
      </w:r>
      <w:proofErr w:type="spellStart"/>
      <w:r>
        <w:t>лиганды</w:t>
      </w:r>
      <w:proofErr w:type="spellEnd"/>
      <w:r>
        <w:t xml:space="preserve"> </w:t>
      </w:r>
      <w:r w:rsidR="00B16454">
        <w:t>с азотом в реакционном центре</w:t>
      </w:r>
      <w:r w:rsidR="002674D7">
        <w:t xml:space="preserve"> </w:t>
      </w:r>
      <w:r>
        <w:t>являются</w:t>
      </w:r>
      <w:r w:rsidR="002674D7" w:rsidRPr="002674D7">
        <w:t xml:space="preserve"> </w:t>
      </w:r>
      <w:r w:rsidR="002674D7">
        <w:t>од</w:t>
      </w:r>
      <w:r>
        <w:t>ним</w:t>
      </w:r>
      <w:r w:rsidR="002674D7">
        <w:t xml:space="preserve"> из перспективных классов</w:t>
      </w:r>
      <w:r>
        <w:t xml:space="preserve"> экстрагентов</w:t>
      </w:r>
      <w:r w:rsidR="00B16454">
        <w:t xml:space="preserve">. </w:t>
      </w:r>
      <w:r w:rsidRPr="002F3641">
        <w:t xml:space="preserve">Целью настоящей работы являлось установление связи структура – кинетические свойства некоторых </w:t>
      </w:r>
      <w:r w:rsidR="0054780C">
        <w:t>таких</w:t>
      </w:r>
      <w:r w:rsidRPr="002F3641">
        <w:t xml:space="preserve"> </w:t>
      </w:r>
      <w:proofErr w:type="spellStart"/>
      <w:r w:rsidRPr="002F3641">
        <w:t>лигандов</w:t>
      </w:r>
      <w:proofErr w:type="spellEnd"/>
      <w:r w:rsidRPr="002F3641">
        <w:t xml:space="preserve">. </w:t>
      </w:r>
      <w:r w:rsidR="002D4F7B">
        <w:t xml:space="preserve">В </w:t>
      </w:r>
      <w:r w:rsidR="009D2869">
        <w:t xml:space="preserve">качестве </w:t>
      </w:r>
      <w:r w:rsidR="00B91073">
        <w:t>экстрагентов</w:t>
      </w:r>
      <w:r w:rsidR="009D2869">
        <w:t xml:space="preserve"> был</w:t>
      </w:r>
      <w:r w:rsidR="00B91073">
        <w:t>и</w:t>
      </w:r>
      <w:r w:rsidR="009D2869">
        <w:t xml:space="preserve"> выбран</w:t>
      </w:r>
      <w:r w:rsidR="00B91073">
        <w:t>ы</w:t>
      </w:r>
      <w:r w:rsidR="002D4F7B">
        <w:t xml:space="preserve"> </w:t>
      </w:r>
      <w:r w:rsidR="002674D7">
        <w:t xml:space="preserve">диамиды гетероциклических кислот </w:t>
      </w:r>
      <w:r w:rsidR="009D2869">
        <w:t>(</w:t>
      </w:r>
      <w:r w:rsidR="00B26969">
        <w:t>рис</w:t>
      </w:r>
      <w:r w:rsidR="009D2869">
        <w:t>. 1). Сочетание «жестких» атомов кислорода и «мягких» атомов азота обеспечивает селективность при экстракции пары</w:t>
      </w:r>
      <w:r w:rsidR="009D2869" w:rsidRPr="009D2869">
        <w:t xml:space="preserve"> </w:t>
      </w:r>
      <w:r w:rsidR="009D2869" w:rsidRPr="009D2869">
        <w:rPr>
          <w:lang w:val="en-US"/>
        </w:rPr>
        <w:t>Am</w:t>
      </w:r>
      <w:r w:rsidR="009D2869" w:rsidRPr="009D2869">
        <w:t>(</w:t>
      </w:r>
      <w:r w:rsidR="009D2869" w:rsidRPr="009D2869">
        <w:rPr>
          <w:lang w:val="en-US"/>
        </w:rPr>
        <w:t>III</w:t>
      </w:r>
      <w:r w:rsidR="009D2869" w:rsidRPr="009D2869">
        <w:t>)/</w:t>
      </w:r>
      <w:r w:rsidR="009D2869" w:rsidRPr="009D2869">
        <w:rPr>
          <w:lang w:val="en-US"/>
        </w:rPr>
        <w:t>Eu</w:t>
      </w:r>
      <w:r w:rsidR="009D2869" w:rsidRPr="009D2869">
        <w:t>(</w:t>
      </w:r>
      <w:r w:rsidR="009D2869" w:rsidRPr="009D2869">
        <w:rPr>
          <w:lang w:val="en-US"/>
        </w:rPr>
        <w:t>III</w:t>
      </w:r>
      <w:r w:rsidR="009D2869" w:rsidRPr="009D2869">
        <w:t>)</w:t>
      </w:r>
      <w:r w:rsidR="002674D7">
        <w:t>.</w:t>
      </w:r>
      <w:r w:rsidR="00C07F98" w:rsidRPr="00C07F98">
        <w:t xml:space="preserve"> </w:t>
      </w:r>
      <w:r w:rsidR="00C07F98">
        <w:t xml:space="preserve">Для выбранных </w:t>
      </w:r>
      <w:proofErr w:type="spellStart"/>
      <w:r w:rsidR="00C07F98">
        <w:t>лигандов</w:t>
      </w:r>
      <w:proofErr w:type="spellEnd"/>
      <w:r w:rsidR="00C07F98" w:rsidRPr="00BE2666">
        <w:t xml:space="preserve"> </w:t>
      </w:r>
      <w:r w:rsidR="00C07F98">
        <w:t xml:space="preserve">с использованием </w:t>
      </w:r>
      <w:proofErr w:type="spellStart"/>
      <w:r w:rsidR="00C07F98">
        <w:t>микрофлюидн</w:t>
      </w:r>
      <w:r w:rsidR="00C07F98" w:rsidRPr="00607E1F">
        <w:t>ой</w:t>
      </w:r>
      <w:proofErr w:type="spellEnd"/>
      <w:r w:rsidR="00C07F98" w:rsidRPr="00607E1F">
        <w:t xml:space="preserve"> методики была исследована кинетика экстракции.</w:t>
      </w:r>
    </w:p>
    <w:tbl>
      <w:tblPr>
        <w:tblStyle w:val="af3"/>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2803"/>
        <w:gridCol w:w="2876"/>
      </w:tblGrid>
      <w:tr w:rsidR="00B26969" w:rsidRPr="00472B13" w14:paraId="1172A417" w14:textId="77777777" w:rsidTr="009709E9">
        <w:trPr>
          <w:trHeight w:val="2431"/>
          <w:jc w:val="center"/>
        </w:trPr>
        <w:tc>
          <w:tcPr>
            <w:tcW w:w="3105" w:type="dxa"/>
            <w:vAlign w:val="center"/>
          </w:tcPr>
          <w:p w14:paraId="023FD3EE" w14:textId="77777777" w:rsidR="00B26969" w:rsidRPr="00472B13" w:rsidRDefault="00B26969" w:rsidP="001D2F98">
            <w:pPr>
              <w:shd w:val="clear" w:color="auto" w:fill="FFFFFF"/>
              <w:jc w:val="center"/>
              <w:rPr>
                <w:sz w:val="22"/>
                <w:szCs w:val="22"/>
              </w:rPr>
            </w:pPr>
            <w:r w:rsidRPr="00472B13">
              <w:rPr>
                <w:noProof/>
                <w:sz w:val="22"/>
                <w:szCs w:val="22"/>
              </w:rPr>
              <w:drawing>
                <wp:inline distT="0" distB="0" distL="0" distR="0" wp14:anchorId="05856724" wp14:editId="358E721C">
                  <wp:extent cx="1504950" cy="1266157"/>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9225"/>
                          <a:stretch/>
                        </pic:blipFill>
                        <pic:spPr bwMode="auto">
                          <a:xfrm>
                            <a:off x="0" y="0"/>
                            <a:ext cx="1504950" cy="1266157"/>
                          </a:xfrm>
                          <a:prstGeom prst="rect">
                            <a:avLst/>
                          </a:prstGeom>
                          <a:ln>
                            <a:noFill/>
                          </a:ln>
                          <a:extLst>
                            <a:ext uri="{53640926-AAD7-44D8-BBD7-CCE9431645EC}">
                              <a14:shadowObscured xmlns:a14="http://schemas.microsoft.com/office/drawing/2010/main"/>
                            </a:ext>
                          </a:extLst>
                        </pic:spPr>
                      </pic:pic>
                    </a:graphicData>
                  </a:graphic>
                </wp:inline>
              </w:drawing>
            </w:r>
          </w:p>
        </w:tc>
        <w:tc>
          <w:tcPr>
            <w:tcW w:w="2803" w:type="dxa"/>
            <w:vAlign w:val="center"/>
          </w:tcPr>
          <w:p w14:paraId="65B1F1E7" w14:textId="77777777" w:rsidR="00B26969" w:rsidRPr="00472B13" w:rsidRDefault="00B26969" w:rsidP="001D2F98">
            <w:pPr>
              <w:shd w:val="clear" w:color="auto" w:fill="FFFFFF"/>
              <w:jc w:val="center"/>
              <w:rPr>
                <w:sz w:val="22"/>
                <w:szCs w:val="22"/>
              </w:rPr>
            </w:pPr>
            <w:r w:rsidRPr="00472B13">
              <w:rPr>
                <w:noProof/>
                <w:sz w:val="22"/>
                <w:szCs w:val="22"/>
              </w:rPr>
              <w:drawing>
                <wp:inline distT="0" distB="0" distL="0" distR="0" wp14:anchorId="4BF3D16C" wp14:editId="68483ADF">
                  <wp:extent cx="1403497" cy="1174750"/>
                  <wp:effectExtent l="0" t="0" r="635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227" r="4232" b="7764"/>
                          <a:stretch/>
                        </pic:blipFill>
                        <pic:spPr bwMode="auto">
                          <a:xfrm>
                            <a:off x="0" y="0"/>
                            <a:ext cx="1403757" cy="1174968"/>
                          </a:xfrm>
                          <a:prstGeom prst="rect">
                            <a:avLst/>
                          </a:prstGeom>
                          <a:ln>
                            <a:noFill/>
                          </a:ln>
                          <a:extLst>
                            <a:ext uri="{53640926-AAD7-44D8-BBD7-CCE9431645EC}">
                              <a14:shadowObscured xmlns:a14="http://schemas.microsoft.com/office/drawing/2010/main"/>
                            </a:ext>
                          </a:extLst>
                        </pic:spPr>
                      </pic:pic>
                    </a:graphicData>
                  </a:graphic>
                </wp:inline>
              </w:drawing>
            </w:r>
          </w:p>
        </w:tc>
        <w:tc>
          <w:tcPr>
            <w:tcW w:w="2876" w:type="dxa"/>
            <w:vAlign w:val="center"/>
          </w:tcPr>
          <w:p w14:paraId="769A1DB5" w14:textId="77777777" w:rsidR="00B26969" w:rsidRPr="00472B13" w:rsidRDefault="00B26969" w:rsidP="001D2F98">
            <w:pPr>
              <w:shd w:val="clear" w:color="auto" w:fill="FFFFFF"/>
              <w:jc w:val="center"/>
              <w:rPr>
                <w:sz w:val="22"/>
                <w:szCs w:val="22"/>
              </w:rPr>
            </w:pPr>
            <w:r w:rsidRPr="00472B13">
              <w:rPr>
                <w:noProof/>
                <w:sz w:val="22"/>
                <w:szCs w:val="22"/>
              </w:rPr>
              <w:drawing>
                <wp:inline distT="0" distB="0" distL="0" distR="0" wp14:anchorId="566BEB8C" wp14:editId="5EFFFAE1">
                  <wp:extent cx="1436068" cy="138430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884" r="8761" b="7671"/>
                          <a:stretch/>
                        </pic:blipFill>
                        <pic:spPr bwMode="auto">
                          <a:xfrm>
                            <a:off x="0" y="0"/>
                            <a:ext cx="1436068" cy="13843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60DB93B" w14:textId="7BA31A6A" w:rsidR="00B26969" w:rsidRPr="001D1C0B" w:rsidRDefault="00B26969" w:rsidP="00B91B73">
      <w:pPr>
        <w:shd w:val="clear" w:color="auto" w:fill="FFFFFF"/>
        <w:spacing w:after="120"/>
        <w:jc w:val="center"/>
        <w:rPr>
          <w:sz w:val="22"/>
          <w:szCs w:val="22"/>
          <w:lang w:val="en-US"/>
        </w:rPr>
      </w:pPr>
      <w:r>
        <w:t>Рисунок</w:t>
      </w:r>
      <w:r w:rsidRPr="00472B13">
        <w:t xml:space="preserve"> 1. </w:t>
      </w:r>
      <w:r w:rsidR="00C07F98">
        <w:t>Структурные формулы и</w:t>
      </w:r>
      <w:r w:rsidRPr="00472B13">
        <w:t>сследуемы</w:t>
      </w:r>
      <w:r w:rsidR="00C07F98">
        <w:t>х</w:t>
      </w:r>
      <w:r w:rsidRPr="00472B13">
        <w:t xml:space="preserve"> </w:t>
      </w:r>
      <w:proofErr w:type="spellStart"/>
      <w:r w:rsidRPr="00472B13">
        <w:t>лиганд</w:t>
      </w:r>
      <w:r w:rsidR="00C07F98">
        <w:t>ов</w:t>
      </w:r>
      <w:proofErr w:type="spellEnd"/>
      <w:r>
        <w:t>.</w:t>
      </w:r>
    </w:p>
    <w:p w14:paraId="3B4933F9" w14:textId="2439BC76" w:rsidR="00266E9D" w:rsidRDefault="00C07F98" w:rsidP="00266E9D">
      <w:pPr>
        <w:autoSpaceDE w:val="0"/>
        <w:autoSpaceDN w:val="0"/>
        <w:adjustRightInd w:val="0"/>
        <w:ind w:firstLine="397"/>
        <w:jc w:val="both"/>
      </w:pPr>
      <w:r w:rsidRPr="00607E1F">
        <w:t>Полученные данные были описаны кинетическими уравнениями псевдо-первого порядка. Были</w:t>
      </w:r>
      <w:r w:rsidR="00806C7A" w:rsidRPr="00607E1F">
        <w:t xml:space="preserve"> </w:t>
      </w:r>
      <w:r w:rsidR="00B26969" w:rsidRPr="00607E1F">
        <w:t>определены</w:t>
      </w:r>
      <w:r w:rsidR="00806C7A" w:rsidRPr="00607E1F">
        <w:t xml:space="preserve"> значения констант массопереноса</w:t>
      </w:r>
      <w:r w:rsidR="00C05B28" w:rsidRPr="00607E1F">
        <w:t xml:space="preserve"> </w:t>
      </w:r>
      <w:r w:rsidR="002D4F7B" w:rsidRPr="00607E1F">
        <w:fldChar w:fldCharType="begin" w:fldLock="1"/>
      </w:r>
      <w:r w:rsidR="002D4F7B" w:rsidRPr="00607E1F">
        <w:instrText>ADDIN CSL_CITATION {"citationItems":[{"id":"ITEM-1","itemData":{"DOI":"10.1021/ja206020u","ISSN":"00027863","PMID":"21888347","abstract":"The closing of the nuclear fuel cycle is an unsolved problem of great importance. Separating radionuclides produced in a nuclear reactor is useful both for the storage of nuclear waste and for recycling of nuclear fuel. These separations can be performed by designing appropriate chelation chemistries and liquid-liquid extraction schemes, such as in the TALSPEAK process (Trivalent Actinide-Lanthanide Separation by Phosphorus reagent Extraction from Aqueous Komplexes). However, there are no approved methods for the industrial scale reprocessing of civilian nuclear fuel in the United States. One bottleneck in the design of next-generation solvent extraction-based nuclear fuel reprocessing schemes is a lack of interfacial mass transfer rate constants obtained under well-controlled conditions for lanthanide and actinide ligand complexes; such rate constants are a prerequisite for mechanistic understanding of the extraction chemistries involved and are of great assistance in the design of new chemistries. In addition, rate constants obtained under conditions of known interfacial area have immediate, practical utility in models required for the scaling-up of laboratory-scale demonstrations to industrial-scale solutions. Existing experimental techniques for determining these rate constants suffer from two key drawbacks: either slow mixing or unknown interfacial area. The volume of waste produced by traditional methods is an additional, practical concern in experiments involving radioactive elements, both from disposal cost and experimenter safety standpoints. In this paper, we test a plug-based microfluidic system that uses flowing plugs (droplets) in microfluidic channels to determine absolute interfacial mass transfer rate constants under conditions of both rapid mixing and controlled interfacial area. We utilize this system to determine, for the first time, the rate constants for interfacial transfer of all lanthanides, minus promethium, plus yttrium, under TALSPEAK process conditions, as a first step toward testing the molecular mechanism of this separation process. © 2011 American Chemical Society.","author":[{"dropping-particle":"","family":"Nichols","given":"Kevin P.","non-dropping-particle":"","parse-names":false,"suffix":""},{"dropping-particle":"","family":"Pompano","given":"Rebecca R.","non-dropping-particle":"","parse-names":false,"suffix":""},{"dropping-particle":"","family":"Li","given":"Liang","non-dropping-particle":"","parse-names":false,"suffix":""},{"dropping-particle":"V.","family":"Gelis","given":"Artem","non-dropping-particle":"","parse-names":false,"suffix":""},{"dropping-particle":"","family":"Ismagilov","given":"Rustem F.","non-dropping-particle":"","parse-names":false,"suffix":""}],"container-title":"Journal of the American Chemical Society","id":"ITEM-1","issue":"39","issued":{"date-parts":[["2011"]]},"page":"15721-15729","title":"Toward mechanistic understanding of nuclear reprocessing chemistries by quantifying lanthanide solvent extraction kinetics via microfluidics with constant interfacial area and rapid mixing","type":"article-journal","volume":"133"},"uris":["http://www.mendeley.com/documents/?uuid=1c7aa75f-da81-4e90-99d5-6a2cf1b88e8d"]}],"mendeley":{"formattedCitation":"[1]","manualFormatting":"[1,2]","plainTextFormattedCitation":"[1]","previouslyFormattedCitation":"[1]"},"properties":{"noteIndex":0},"schema":"https://github.com/citation-style-language/schema/raw/master/csl-citation.json"}</w:instrText>
      </w:r>
      <w:r w:rsidR="002D4F7B" w:rsidRPr="00607E1F">
        <w:fldChar w:fldCharType="separate"/>
      </w:r>
      <w:r w:rsidR="002D4F7B" w:rsidRPr="00607E1F">
        <w:rPr>
          <w:noProof/>
        </w:rPr>
        <w:t>[1,2]</w:t>
      </w:r>
      <w:r w:rsidR="002D4F7B" w:rsidRPr="00607E1F">
        <w:fldChar w:fldCharType="end"/>
      </w:r>
      <w:r w:rsidR="00C05B28" w:rsidRPr="00607E1F">
        <w:t>. В</w:t>
      </w:r>
      <w:r w:rsidR="00806C7A" w:rsidRPr="00607E1F">
        <w:t xml:space="preserve">арьирование структурных фрагментов </w:t>
      </w:r>
      <w:proofErr w:type="spellStart"/>
      <w:r w:rsidR="00806C7A" w:rsidRPr="00607E1F">
        <w:t>лигандов</w:t>
      </w:r>
      <w:proofErr w:type="spellEnd"/>
      <w:r w:rsidR="00806C7A" w:rsidRPr="00607E1F">
        <w:t xml:space="preserve"> </w:t>
      </w:r>
      <w:r w:rsidR="00844E31" w:rsidRPr="00607E1F">
        <w:t xml:space="preserve">– </w:t>
      </w:r>
      <w:r w:rsidR="00806C7A" w:rsidRPr="00607E1F">
        <w:t xml:space="preserve">ядра </w:t>
      </w:r>
      <w:r w:rsidR="005B00F4">
        <w:t>(</w:t>
      </w:r>
      <w:proofErr w:type="spellStart"/>
      <w:r w:rsidR="005B00F4">
        <w:t>фенантролин</w:t>
      </w:r>
      <w:proofErr w:type="spellEnd"/>
      <w:r w:rsidR="005B00F4">
        <w:t xml:space="preserve">, </w:t>
      </w:r>
      <w:proofErr w:type="spellStart"/>
      <w:r w:rsidR="005B00F4">
        <w:t>бипиридил</w:t>
      </w:r>
      <w:proofErr w:type="spellEnd"/>
      <w:r w:rsidR="00806C7A" w:rsidRPr="00607E1F">
        <w:t>) и заместителей (ароматические, линейные и разветвленные алифатические)</w:t>
      </w:r>
      <w:r w:rsidR="00C05B28" w:rsidRPr="00607E1F">
        <w:t xml:space="preserve"> </w:t>
      </w:r>
      <w:r w:rsidR="00844E31" w:rsidRPr="00607E1F">
        <w:t xml:space="preserve">– </w:t>
      </w:r>
      <w:r w:rsidR="00C05B28" w:rsidRPr="00607E1F">
        <w:t>позволило</w:t>
      </w:r>
      <w:r w:rsidR="00806C7A" w:rsidRPr="00607E1F">
        <w:t xml:space="preserve"> </w:t>
      </w:r>
      <w:r w:rsidRPr="00607E1F">
        <w:t>показать, что экст</w:t>
      </w:r>
      <w:r w:rsidR="00B91B73" w:rsidRPr="00607E1F">
        <w:t>р</w:t>
      </w:r>
      <w:r w:rsidRPr="00607E1F">
        <w:t xml:space="preserve">акция протекает быстрее в случае </w:t>
      </w:r>
      <w:proofErr w:type="spellStart"/>
      <w:r w:rsidRPr="00607E1F">
        <w:t>лигандов</w:t>
      </w:r>
      <w:proofErr w:type="spellEnd"/>
      <w:r w:rsidRPr="00607E1F">
        <w:t xml:space="preserve"> с </w:t>
      </w:r>
      <w:proofErr w:type="spellStart"/>
      <w:r w:rsidRPr="00607E1F">
        <w:t>фенантролиновым</w:t>
      </w:r>
      <w:proofErr w:type="spellEnd"/>
      <w:r w:rsidRPr="00607E1F">
        <w:t xml:space="preserve"> ядром</w:t>
      </w:r>
      <w:r w:rsidR="005B00F4">
        <w:t>, и что б</w:t>
      </w:r>
      <w:r w:rsidRPr="00607E1F">
        <w:t>олее объемные заместители у амидной группы замедляют экстракцию.</w:t>
      </w:r>
    </w:p>
    <w:p w14:paraId="75B273ED" w14:textId="276D60A5" w:rsidR="00C05B28" w:rsidRPr="000D2159" w:rsidRDefault="00C05B28" w:rsidP="00266E9D">
      <w:pPr>
        <w:tabs>
          <w:tab w:val="left" w:pos="0"/>
        </w:tabs>
        <w:ind w:left="397"/>
        <w:jc w:val="both"/>
        <w:rPr>
          <w:i/>
        </w:rPr>
      </w:pPr>
      <w:r w:rsidRPr="000D2159">
        <w:rPr>
          <w:i/>
        </w:rPr>
        <w:t>Работа выполнена при финансовой поддержке РНФ 20-73-10076</w:t>
      </w:r>
      <w:r w:rsidR="000D2159" w:rsidRPr="000D2159">
        <w:rPr>
          <w:i/>
        </w:rPr>
        <w:t>.</w:t>
      </w:r>
    </w:p>
    <w:p w14:paraId="6196EA96" w14:textId="77777777" w:rsidR="00C05B28" w:rsidRPr="00266E9D" w:rsidRDefault="00C05B28">
      <w:pPr>
        <w:pBdr>
          <w:top w:val="nil"/>
          <w:left w:val="nil"/>
          <w:bottom w:val="nil"/>
          <w:right w:val="nil"/>
          <w:between w:val="nil"/>
        </w:pBdr>
        <w:shd w:val="clear" w:color="auto" w:fill="FFFFFF"/>
        <w:jc w:val="center"/>
      </w:pPr>
    </w:p>
    <w:p w14:paraId="0000000E" w14:textId="12084049" w:rsidR="00130241" w:rsidRPr="001C345A" w:rsidRDefault="00EB1F49">
      <w:pPr>
        <w:pBdr>
          <w:top w:val="nil"/>
          <w:left w:val="nil"/>
          <w:bottom w:val="nil"/>
          <w:right w:val="nil"/>
          <w:between w:val="nil"/>
        </w:pBdr>
        <w:shd w:val="clear" w:color="auto" w:fill="FFFFFF"/>
        <w:jc w:val="center"/>
        <w:rPr>
          <w:color w:val="000000"/>
        </w:rPr>
      </w:pPr>
      <w:r>
        <w:rPr>
          <w:b/>
          <w:color w:val="000000"/>
        </w:rPr>
        <w:t>Литература</w:t>
      </w:r>
      <w:bookmarkStart w:id="0" w:name="_GoBack"/>
      <w:bookmarkEnd w:id="0"/>
    </w:p>
    <w:p w14:paraId="61FE7059" w14:textId="1490F44B" w:rsidR="002D4F7B" w:rsidRPr="00C05B28" w:rsidRDefault="002D4F7B" w:rsidP="002D4F7B">
      <w:pPr>
        <w:widowControl w:val="0"/>
        <w:autoSpaceDE w:val="0"/>
        <w:autoSpaceDN w:val="0"/>
        <w:adjustRightInd w:val="0"/>
        <w:ind w:left="640" w:hanging="640"/>
        <w:rPr>
          <w:noProof/>
          <w:lang w:val="en-US"/>
        </w:rPr>
      </w:pPr>
      <w:r>
        <w:rPr>
          <w:color w:val="000000"/>
          <w:lang w:val="en-US"/>
        </w:rPr>
        <w:fldChar w:fldCharType="begin" w:fldLock="1"/>
      </w:r>
      <w:r>
        <w:rPr>
          <w:color w:val="000000"/>
          <w:lang w:val="en-US"/>
        </w:rPr>
        <w:instrText>ADDIN</w:instrText>
      </w:r>
      <w:r w:rsidRPr="00266E9D">
        <w:rPr>
          <w:color w:val="000000"/>
          <w:lang w:val="en-US"/>
        </w:rPr>
        <w:instrText xml:space="preserve"> </w:instrText>
      </w:r>
      <w:r>
        <w:rPr>
          <w:color w:val="000000"/>
          <w:lang w:val="en-US"/>
        </w:rPr>
        <w:instrText>Mendeley</w:instrText>
      </w:r>
      <w:r w:rsidRPr="00266E9D">
        <w:rPr>
          <w:color w:val="000000"/>
          <w:lang w:val="en-US"/>
        </w:rPr>
        <w:instrText xml:space="preserve"> </w:instrText>
      </w:r>
      <w:r>
        <w:rPr>
          <w:color w:val="000000"/>
          <w:lang w:val="en-US"/>
        </w:rPr>
        <w:instrText>Bibliography</w:instrText>
      </w:r>
      <w:r w:rsidRPr="00266E9D">
        <w:rPr>
          <w:color w:val="000000"/>
          <w:lang w:val="en-US"/>
        </w:rPr>
        <w:instrText xml:space="preserve"> </w:instrText>
      </w:r>
      <w:r>
        <w:rPr>
          <w:color w:val="000000"/>
          <w:lang w:val="en-US"/>
        </w:rPr>
        <w:instrText>CSL</w:instrText>
      </w:r>
      <w:r w:rsidRPr="00266E9D">
        <w:rPr>
          <w:color w:val="000000"/>
          <w:lang w:val="en-US"/>
        </w:rPr>
        <w:instrText>_</w:instrText>
      </w:r>
      <w:r>
        <w:rPr>
          <w:color w:val="000000"/>
          <w:lang w:val="en-US"/>
        </w:rPr>
        <w:instrText>BIBLIOGRAPHY</w:instrText>
      </w:r>
      <w:r w:rsidRPr="00266E9D">
        <w:rPr>
          <w:color w:val="000000"/>
          <w:lang w:val="en-US"/>
        </w:rPr>
        <w:instrText xml:space="preserve"> </w:instrText>
      </w:r>
      <w:r>
        <w:rPr>
          <w:color w:val="000000"/>
          <w:lang w:val="en-US"/>
        </w:rPr>
        <w:fldChar w:fldCharType="separate"/>
      </w:r>
      <w:r w:rsidRPr="00266E9D">
        <w:rPr>
          <w:noProof/>
          <w:lang w:val="en-US"/>
        </w:rPr>
        <w:t>1.</w:t>
      </w:r>
      <w:r w:rsidRPr="00266E9D">
        <w:rPr>
          <w:noProof/>
          <w:lang w:val="en-US"/>
        </w:rPr>
        <w:tab/>
      </w:r>
      <w:r w:rsidRPr="00C05B28">
        <w:rPr>
          <w:noProof/>
          <w:lang w:val="en-US"/>
        </w:rPr>
        <w:t>Nichols</w:t>
      </w:r>
      <w:r w:rsidRPr="00266E9D">
        <w:rPr>
          <w:noProof/>
          <w:lang w:val="en-US"/>
        </w:rPr>
        <w:t xml:space="preserve"> </w:t>
      </w:r>
      <w:r w:rsidRPr="00C05B28">
        <w:rPr>
          <w:noProof/>
          <w:lang w:val="en-US"/>
        </w:rPr>
        <w:t>K</w:t>
      </w:r>
      <w:r w:rsidRPr="00266E9D">
        <w:rPr>
          <w:noProof/>
          <w:lang w:val="en-US"/>
        </w:rPr>
        <w:t>.</w:t>
      </w:r>
      <w:r w:rsidRPr="00C05B28">
        <w:rPr>
          <w:noProof/>
          <w:lang w:val="en-US"/>
        </w:rPr>
        <w:t>P</w:t>
      </w:r>
      <w:r w:rsidRPr="00266E9D">
        <w:rPr>
          <w:noProof/>
          <w:lang w:val="en-US"/>
        </w:rPr>
        <w:t xml:space="preserve">. </w:t>
      </w:r>
      <w:r w:rsidRPr="00C05B28">
        <w:rPr>
          <w:noProof/>
          <w:lang w:val="en-US"/>
        </w:rPr>
        <w:t>et</w:t>
      </w:r>
      <w:r w:rsidRPr="00266E9D">
        <w:rPr>
          <w:noProof/>
          <w:lang w:val="en-US"/>
        </w:rPr>
        <w:t xml:space="preserve"> </w:t>
      </w:r>
      <w:r w:rsidRPr="00C05B28">
        <w:rPr>
          <w:noProof/>
          <w:lang w:val="en-US"/>
        </w:rPr>
        <w:t>al</w:t>
      </w:r>
      <w:r w:rsidRPr="00266E9D">
        <w:rPr>
          <w:noProof/>
          <w:lang w:val="en-US"/>
        </w:rPr>
        <w:t xml:space="preserve">. </w:t>
      </w:r>
      <w:r w:rsidRPr="00C05B28">
        <w:rPr>
          <w:noProof/>
          <w:lang w:val="en-US"/>
        </w:rPr>
        <w:t>Toward mechanistic understanding of nuclear reprocessing chemistries by quantifying lanthanide solvent extraction kinetics via microfluidics with constant interfacial area and rapid mixing // J. Am. Chem. Soc. 2011. Vol. 133, № 39. P. 15721–15729.</w:t>
      </w:r>
    </w:p>
    <w:p w14:paraId="3486C755" w14:textId="5CA00821" w:rsidR="00116478" w:rsidRPr="00116478" w:rsidRDefault="00987640" w:rsidP="00E65CB6">
      <w:pPr>
        <w:widowControl w:val="0"/>
        <w:autoSpaceDE w:val="0"/>
        <w:autoSpaceDN w:val="0"/>
        <w:adjustRightInd w:val="0"/>
        <w:ind w:left="640" w:hanging="640"/>
        <w:rPr>
          <w:color w:val="000000"/>
          <w:lang w:val="en-US"/>
        </w:rPr>
      </w:pPr>
      <w:r w:rsidRPr="00987640">
        <w:rPr>
          <w:noProof/>
          <w:lang w:val="en-US"/>
        </w:rPr>
        <w:t>2.</w:t>
      </w:r>
      <w:r w:rsidRPr="00987640">
        <w:rPr>
          <w:noProof/>
          <w:lang w:val="en-US"/>
        </w:rPr>
        <w:tab/>
        <w:t>Konopkina E. A. et al. Kinetic features of solvent extraction by N, O-donor ligands of f-elements: a comparative study of diamides based on 1, 10-phenanthroline and 2, 2′-bipyridine //Physical Chemistry Chemical Physics. – 2024. – Т. 26. – №. 3. – С. 2548-2559.</w:t>
      </w:r>
      <w:r w:rsidR="002D4F7B">
        <w:rPr>
          <w:color w:val="000000"/>
          <w:lang w:val="en-US"/>
        </w:rPr>
        <w:fldChar w:fldCharType="end"/>
      </w:r>
    </w:p>
    <w:sectPr w:rsidR="00116478"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631B3"/>
    <w:rsid w:val="00063966"/>
    <w:rsid w:val="00086081"/>
    <w:rsid w:val="00086872"/>
    <w:rsid w:val="000D2159"/>
    <w:rsid w:val="00101A1C"/>
    <w:rsid w:val="00106375"/>
    <w:rsid w:val="00106454"/>
    <w:rsid w:val="00116478"/>
    <w:rsid w:val="00130241"/>
    <w:rsid w:val="00156CF3"/>
    <w:rsid w:val="001731B3"/>
    <w:rsid w:val="001C345A"/>
    <w:rsid w:val="001D1C0B"/>
    <w:rsid w:val="001E61C2"/>
    <w:rsid w:val="001F0493"/>
    <w:rsid w:val="0021717B"/>
    <w:rsid w:val="002264EE"/>
    <w:rsid w:val="0023307C"/>
    <w:rsid w:val="00233FFA"/>
    <w:rsid w:val="00266E9D"/>
    <w:rsid w:val="002674D7"/>
    <w:rsid w:val="00297D83"/>
    <w:rsid w:val="002A291F"/>
    <w:rsid w:val="002D4F7B"/>
    <w:rsid w:val="002F3641"/>
    <w:rsid w:val="0031361E"/>
    <w:rsid w:val="00391C38"/>
    <w:rsid w:val="003B76D6"/>
    <w:rsid w:val="003D27DF"/>
    <w:rsid w:val="004161BB"/>
    <w:rsid w:val="00472B13"/>
    <w:rsid w:val="004839CA"/>
    <w:rsid w:val="00484D16"/>
    <w:rsid w:val="004A26A3"/>
    <w:rsid w:val="004D38AA"/>
    <w:rsid w:val="004F0EDF"/>
    <w:rsid w:val="004F3F26"/>
    <w:rsid w:val="00522BF1"/>
    <w:rsid w:val="0054780C"/>
    <w:rsid w:val="00590166"/>
    <w:rsid w:val="005B00F4"/>
    <w:rsid w:val="005B7D7B"/>
    <w:rsid w:val="00607E1F"/>
    <w:rsid w:val="00665863"/>
    <w:rsid w:val="00696664"/>
    <w:rsid w:val="006D354F"/>
    <w:rsid w:val="006F7A19"/>
    <w:rsid w:val="0070321A"/>
    <w:rsid w:val="007424A9"/>
    <w:rsid w:val="00775389"/>
    <w:rsid w:val="00797838"/>
    <w:rsid w:val="007C36D8"/>
    <w:rsid w:val="007D0303"/>
    <w:rsid w:val="007F2744"/>
    <w:rsid w:val="00806C7A"/>
    <w:rsid w:val="008254D7"/>
    <w:rsid w:val="00827B5D"/>
    <w:rsid w:val="00844E31"/>
    <w:rsid w:val="008931BE"/>
    <w:rsid w:val="008B052D"/>
    <w:rsid w:val="008B1D0B"/>
    <w:rsid w:val="00906B1A"/>
    <w:rsid w:val="00921D45"/>
    <w:rsid w:val="00925D73"/>
    <w:rsid w:val="009709E9"/>
    <w:rsid w:val="00987640"/>
    <w:rsid w:val="009A66DB"/>
    <w:rsid w:val="009B2F80"/>
    <w:rsid w:val="009B3300"/>
    <w:rsid w:val="009C18FD"/>
    <w:rsid w:val="009D0459"/>
    <w:rsid w:val="009D2869"/>
    <w:rsid w:val="009F3380"/>
    <w:rsid w:val="00A02163"/>
    <w:rsid w:val="00A314FE"/>
    <w:rsid w:val="00A575BD"/>
    <w:rsid w:val="00AB0355"/>
    <w:rsid w:val="00B16454"/>
    <w:rsid w:val="00B26969"/>
    <w:rsid w:val="00B339F7"/>
    <w:rsid w:val="00B91073"/>
    <w:rsid w:val="00B91B73"/>
    <w:rsid w:val="00BE2666"/>
    <w:rsid w:val="00BF36F8"/>
    <w:rsid w:val="00BF4622"/>
    <w:rsid w:val="00C05B28"/>
    <w:rsid w:val="00C07F98"/>
    <w:rsid w:val="00C3322D"/>
    <w:rsid w:val="00C445A8"/>
    <w:rsid w:val="00C852A2"/>
    <w:rsid w:val="00C87AC5"/>
    <w:rsid w:val="00CD00B1"/>
    <w:rsid w:val="00D013BB"/>
    <w:rsid w:val="00D2031B"/>
    <w:rsid w:val="00D22306"/>
    <w:rsid w:val="00D36C90"/>
    <w:rsid w:val="00D42542"/>
    <w:rsid w:val="00D60C9F"/>
    <w:rsid w:val="00D77905"/>
    <w:rsid w:val="00D8121C"/>
    <w:rsid w:val="00D90E9E"/>
    <w:rsid w:val="00DD738E"/>
    <w:rsid w:val="00E01A39"/>
    <w:rsid w:val="00E22189"/>
    <w:rsid w:val="00E65CB6"/>
    <w:rsid w:val="00E74069"/>
    <w:rsid w:val="00E755B7"/>
    <w:rsid w:val="00EB1F49"/>
    <w:rsid w:val="00ED32D7"/>
    <w:rsid w:val="00F81EC0"/>
    <w:rsid w:val="00F865B3"/>
    <w:rsid w:val="00FB1509"/>
    <w:rsid w:val="00FC54CE"/>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Revision"/>
    <w:hidden/>
    <w:uiPriority w:val="99"/>
    <w:semiHidden/>
    <w:rsid w:val="008B052D"/>
    <w:rPr>
      <w:rFonts w:ascii="Times New Roman" w:eastAsia="Times New Roman" w:hAnsi="Times New Roman" w:cs="Times New Roman"/>
      <w:sz w:val="24"/>
      <w:szCs w:val="24"/>
    </w:rPr>
  </w:style>
  <w:style w:type="character" w:styleId="ab">
    <w:name w:val="annotation reference"/>
    <w:basedOn w:val="a0"/>
    <w:uiPriority w:val="99"/>
    <w:semiHidden/>
    <w:unhideWhenUsed/>
    <w:rsid w:val="008B052D"/>
    <w:rPr>
      <w:sz w:val="16"/>
      <w:szCs w:val="16"/>
    </w:rPr>
  </w:style>
  <w:style w:type="paragraph" w:styleId="ac">
    <w:name w:val="annotation text"/>
    <w:basedOn w:val="a"/>
    <w:link w:val="ad"/>
    <w:uiPriority w:val="99"/>
    <w:semiHidden/>
    <w:unhideWhenUsed/>
    <w:rsid w:val="008B052D"/>
    <w:rPr>
      <w:sz w:val="20"/>
      <w:szCs w:val="20"/>
    </w:rPr>
  </w:style>
  <w:style w:type="character" w:customStyle="1" w:styleId="ad">
    <w:name w:val="Текст примечания Знак"/>
    <w:basedOn w:val="a0"/>
    <w:link w:val="ac"/>
    <w:uiPriority w:val="99"/>
    <w:semiHidden/>
    <w:rsid w:val="008B052D"/>
    <w:rPr>
      <w:rFonts w:ascii="Times New Roman" w:eastAsia="Times New Roman" w:hAnsi="Times New Roman" w:cs="Times New Roman"/>
    </w:rPr>
  </w:style>
  <w:style w:type="paragraph" w:styleId="ae">
    <w:name w:val="annotation subject"/>
    <w:basedOn w:val="ac"/>
    <w:next w:val="ac"/>
    <w:link w:val="af"/>
    <w:uiPriority w:val="99"/>
    <w:semiHidden/>
    <w:unhideWhenUsed/>
    <w:rsid w:val="008B052D"/>
    <w:rPr>
      <w:b/>
      <w:bCs/>
    </w:rPr>
  </w:style>
  <w:style w:type="character" w:customStyle="1" w:styleId="af">
    <w:name w:val="Тема примечания Знак"/>
    <w:basedOn w:val="ad"/>
    <w:link w:val="ae"/>
    <w:uiPriority w:val="99"/>
    <w:semiHidden/>
    <w:rsid w:val="008B052D"/>
    <w:rPr>
      <w:rFonts w:ascii="Times New Roman" w:eastAsia="Times New Roman" w:hAnsi="Times New Roman" w:cs="Times New Roman"/>
      <w:b/>
      <w:bCs/>
    </w:rPr>
  </w:style>
  <w:style w:type="paragraph" w:styleId="af0">
    <w:name w:val="Balloon Text"/>
    <w:basedOn w:val="a"/>
    <w:link w:val="af1"/>
    <w:uiPriority w:val="99"/>
    <w:semiHidden/>
    <w:unhideWhenUsed/>
    <w:rsid w:val="009D0459"/>
    <w:rPr>
      <w:rFonts w:ascii="Segoe UI" w:hAnsi="Segoe UI" w:cs="Segoe UI"/>
      <w:sz w:val="18"/>
      <w:szCs w:val="18"/>
    </w:rPr>
  </w:style>
  <w:style w:type="character" w:customStyle="1" w:styleId="af1">
    <w:name w:val="Текст выноски Знак"/>
    <w:basedOn w:val="a0"/>
    <w:link w:val="af0"/>
    <w:uiPriority w:val="99"/>
    <w:semiHidden/>
    <w:rsid w:val="009D0459"/>
    <w:rPr>
      <w:rFonts w:ascii="Segoe UI" w:eastAsia="Times New Roman" w:hAnsi="Segoe UI" w:cs="Segoe UI"/>
      <w:sz w:val="18"/>
      <w:szCs w:val="18"/>
    </w:rPr>
  </w:style>
  <w:style w:type="paragraph" w:styleId="af2">
    <w:name w:val="caption"/>
    <w:basedOn w:val="a"/>
    <w:next w:val="a"/>
    <w:uiPriority w:val="35"/>
    <w:unhideWhenUsed/>
    <w:qFormat/>
    <w:rsid w:val="00472B13"/>
    <w:pPr>
      <w:spacing w:after="200"/>
    </w:pPr>
    <w:rPr>
      <w:rFonts w:asciiTheme="minorHAnsi" w:eastAsiaTheme="minorHAnsi" w:hAnsiTheme="minorHAnsi" w:cstheme="minorBidi"/>
      <w:i/>
      <w:iCs/>
      <w:color w:val="1F497D" w:themeColor="text2"/>
      <w:sz w:val="18"/>
      <w:szCs w:val="18"/>
      <w:lang w:eastAsia="en-US"/>
    </w:rPr>
  </w:style>
  <w:style w:type="table" w:styleId="af3">
    <w:name w:val="Table Grid"/>
    <w:basedOn w:val="a1"/>
    <w:uiPriority w:val="39"/>
    <w:rsid w:val="00472B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2E7F-7AFC-4535-BCB4-4D40C24B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947</Words>
  <Characters>5398</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Lomonosov MSU</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Elizaveta</cp:lastModifiedBy>
  <cp:revision>13</cp:revision>
  <dcterms:created xsi:type="dcterms:W3CDTF">2024-03-07T20:05:00Z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c7dc1ca7-4a98-37dd-a3bc-67747f7bc440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http://www.zotero.org/styles/gost-r-7-0-5-2008</vt:lpwstr>
  </property>
  <property fmtid="{D5CDD505-2E9C-101B-9397-08002B2CF9AE}" pid="22" name="Mendeley Recent Style Name 8_1">
    <vt:lpwstr>Russian GOST R 7.0.5-2008 (Russian)</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