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545172A" w:rsidR="00130241" w:rsidRPr="001E5806" w:rsidRDefault="00AE6194" w:rsidP="002F01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Изучение</w:t>
      </w:r>
      <w:r w:rsidR="002F01A8">
        <w:rPr>
          <w:b/>
          <w:color w:val="000000"/>
        </w:rPr>
        <w:t xml:space="preserve"> кинетики восстановления </w:t>
      </w:r>
      <w:r w:rsidR="002F01A8">
        <w:rPr>
          <w:b/>
          <w:color w:val="000000"/>
          <w:lang w:val="en-US"/>
        </w:rPr>
        <w:t>Pu</w:t>
      </w:r>
      <w:r w:rsidR="002F01A8" w:rsidRPr="002F01A8">
        <w:rPr>
          <w:b/>
          <w:color w:val="000000"/>
        </w:rPr>
        <w:t>(</w:t>
      </w:r>
      <w:r>
        <w:rPr>
          <w:b/>
          <w:color w:val="000000"/>
          <w:lang w:val="en-US"/>
        </w:rPr>
        <w:t>IV</w:t>
      </w:r>
      <w:r>
        <w:rPr>
          <w:b/>
          <w:color w:val="000000"/>
        </w:rPr>
        <w:t xml:space="preserve">, </w:t>
      </w:r>
      <w:r w:rsidR="002F01A8">
        <w:rPr>
          <w:b/>
          <w:color w:val="000000"/>
          <w:lang w:val="en-US"/>
        </w:rPr>
        <w:t>VI</w:t>
      </w:r>
      <w:r w:rsidR="002F01A8" w:rsidRPr="002F01A8">
        <w:rPr>
          <w:b/>
          <w:color w:val="000000"/>
        </w:rPr>
        <w:t xml:space="preserve">) </w:t>
      </w:r>
      <w:proofErr w:type="spellStart"/>
      <w:r w:rsidR="002F01A8">
        <w:rPr>
          <w:b/>
          <w:color w:val="000000"/>
        </w:rPr>
        <w:t>карбогидразидом</w:t>
      </w:r>
      <w:proofErr w:type="spellEnd"/>
      <w:r w:rsidR="002F01A8">
        <w:rPr>
          <w:b/>
          <w:color w:val="000000"/>
        </w:rPr>
        <w:t xml:space="preserve"> в растворе хлорной кислоты</w:t>
      </w:r>
    </w:p>
    <w:p w14:paraId="00000002" w14:textId="7F9F4EA3" w:rsidR="00130241" w:rsidRPr="00AF4B10" w:rsidRDefault="002F01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Михальцова</w:t>
      </w:r>
      <w:proofErr w:type="spellEnd"/>
      <w:r w:rsidR="00EB1F49">
        <w:rPr>
          <w:b/>
          <w:i/>
          <w:color w:val="000000"/>
        </w:rPr>
        <w:t xml:space="preserve"> И.А.</w:t>
      </w:r>
      <w:r w:rsidR="00527679">
        <w:rPr>
          <w:b/>
          <w:i/>
          <w:color w:val="000000"/>
          <w:vertAlign w:val="superscript"/>
        </w:rPr>
        <w:t>1,2</w:t>
      </w:r>
      <w:r w:rsidR="008C67E3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</w:t>
      </w:r>
      <w:r w:rsidR="00AF4B10">
        <w:rPr>
          <w:b/>
          <w:i/>
          <w:color w:val="000000"/>
        </w:rPr>
        <w:t>Гербер Е.А</w:t>
      </w:r>
      <w:r w:rsidR="00EB1F49">
        <w:rPr>
          <w:b/>
          <w:i/>
          <w:color w:val="000000"/>
        </w:rPr>
        <w:t>.</w:t>
      </w:r>
      <w:r w:rsidR="00AF4B10">
        <w:rPr>
          <w:b/>
          <w:i/>
          <w:color w:val="000000"/>
          <w:vertAlign w:val="superscript"/>
        </w:rPr>
        <w:t>1,2</w:t>
      </w:r>
    </w:p>
    <w:p w14:paraId="00000003" w14:textId="64E8760A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</w:t>
      </w:r>
      <w:r w:rsidR="002F01A8">
        <w:rPr>
          <w:i/>
          <w:color w:val="000000"/>
        </w:rPr>
        <w:t>ка, 2 курс специалитета</w:t>
      </w:r>
    </w:p>
    <w:p w14:paraId="00000004" w14:textId="1FBD43D9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1A249D70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00000007" w14:textId="5BAA2E68" w:rsidR="00130241" w:rsidRDefault="00EB1F49" w:rsidP="002F01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2F01A8">
        <w:rPr>
          <w:i/>
          <w:color w:val="000000"/>
        </w:rPr>
        <w:t xml:space="preserve">Институт физической химии и электрохимии </w:t>
      </w:r>
      <w:r w:rsidR="00391C38">
        <w:rPr>
          <w:i/>
          <w:color w:val="000000"/>
        </w:rPr>
        <w:t>им</w:t>
      </w:r>
      <w:r w:rsidR="00BF36F8">
        <w:rPr>
          <w:i/>
          <w:color w:val="000000"/>
        </w:rPr>
        <w:t>.</w:t>
      </w:r>
      <w:r w:rsidR="00527679">
        <w:rPr>
          <w:i/>
          <w:color w:val="000000"/>
        </w:rPr>
        <w:t xml:space="preserve"> А.Н. Фрумкина Российской академии наук</w:t>
      </w:r>
      <w:r w:rsidR="00391C38">
        <w:rPr>
          <w:i/>
          <w:color w:val="000000"/>
        </w:rPr>
        <w:t xml:space="preserve">, </w:t>
      </w:r>
      <w:r w:rsidR="00527679">
        <w:rPr>
          <w:i/>
          <w:color w:val="000000"/>
        </w:rPr>
        <w:t>Москва</w:t>
      </w:r>
      <w:r w:rsidR="00BF36F8">
        <w:rPr>
          <w:i/>
          <w:color w:val="000000"/>
        </w:rPr>
        <w:t>, Россия</w:t>
      </w:r>
    </w:p>
    <w:p w14:paraId="1ADA4293" w14:textId="4DE98637" w:rsidR="00CD00B1" w:rsidRPr="00527679" w:rsidRDefault="00EB1F49" w:rsidP="005276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BE7F60">
        <w:rPr>
          <w:i/>
          <w:color w:val="000000"/>
          <w:lang w:val="en-US"/>
        </w:rPr>
        <w:t>E</w:t>
      </w:r>
      <w:r w:rsidR="003B76D6" w:rsidRPr="00BE7F60">
        <w:rPr>
          <w:i/>
          <w:color w:val="000000"/>
          <w:lang w:val="en-US"/>
        </w:rPr>
        <w:t>-</w:t>
      </w:r>
      <w:r w:rsidRPr="00BE7F60">
        <w:rPr>
          <w:i/>
          <w:color w:val="000000"/>
          <w:lang w:val="en-US"/>
        </w:rPr>
        <w:t xml:space="preserve">mail: </w:t>
      </w:r>
      <w:r w:rsidR="00BE7F60">
        <w:rPr>
          <w:i/>
          <w:color w:val="000000"/>
          <w:u w:val="single"/>
          <w:lang w:val="en-US"/>
        </w:rPr>
        <w:t>mikhaltsovaia@my.msu.ru</w:t>
      </w:r>
    </w:p>
    <w:p w14:paraId="7EC886E9" w14:textId="07881178" w:rsidR="009C4687" w:rsidRDefault="00AF4B10" w:rsidP="009C4687">
      <w:pPr>
        <w:pStyle w:val="HTML"/>
        <w:shd w:val="clear" w:color="auto" w:fill="FFFFFF"/>
        <w:ind w:firstLine="919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достоинств закрытого ядерного топливного цикла является возможность выделения ценных компонентов при переработке отработавшего ядерного топлива, которые в дальнейшем могут быть использованы для изготовления ядерного топлива. Образующийся при работе ядерного реактора плутоний регенерируют с использованием экстракционных технологий. В качестве перспективного реагента для восстановления плутония с образованием минимального количества побочных неорганических продуктов рассматривается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карбогидразид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687">
        <w:rPr>
          <w:rFonts w:ascii="Times New Roman" w:hAnsi="Times New Roman" w:cs="Times New Roman"/>
          <w:sz w:val="24"/>
          <w:szCs w:val="24"/>
        </w:rPr>
        <w:t>(NH</w:t>
      </w:r>
      <w:r w:rsidRPr="009C468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C4687">
        <w:rPr>
          <w:rFonts w:ascii="Times New Roman" w:hAnsi="Times New Roman" w:cs="Times New Roman"/>
          <w:sz w:val="24"/>
          <w:szCs w:val="24"/>
        </w:rPr>
        <w:t>NH)</w:t>
      </w:r>
      <w:r w:rsidRPr="009C468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CO)</w:t>
      </w:r>
      <w:r w:rsidR="009C4687" w:rsidRPr="009C468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литературе описаны процессы</w:t>
      </w:r>
      <w:r w:rsidR="009C4687" w:rsidRPr="009C4687">
        <w:rPr>
          <w:rFonts w:ascii="Times New Roman" w:hAnsi="Times New Roman" w:cs="Times New Roman"/>
          <w:sz w:val="24"/>
          <w:szCs w:val="24"/>
        </w:rPr>
        <w:t xml:space="preserve"> восстановления </w:t>
      </w:r>
      <w:proofErr w:type="spellStart"/>
      <w:r w:rsidR="009C4687" w:rsidRPr="009C4687">
        <w:rPr>
          <w:rFonts w:ascii="Times New Roman" w:hAnsi="Times New Roman" w:cs="Times New Roman"/>
          <w:sz w:val="24"/>
          <w:szCs w:val="24"/>
        </w:rPr>
        <w:t>Np</w:t>
      </w:r>
      <w:proofErr w:type="spellEnd"/>
      <w:r w:rsidR="009C4687" w:rsidRPr="009C4687">
        <w:rPr>
          <w:rFonts w:ascii="Times New Roman" w:hAnsi="Times New Roman" w:cs="Times New Roman"/>
          <w:sz w:val="24"/>
          <w:szCs w:val="24"/>
        </w:rPr>
        <w:t xml:space="preserve">(VI) </w:t>
      </w:r>
      <w:proofErr w:type="spellStart"/>
      <w:r w:rsidR="009C4687" w:rsidRPr="009C4687">
        <w:rPr>
          <w:rFonts w:ascii="Times New Roman" w:hAnsi="Times New Roman" w:cs="Times New Roman"/>
          <w:sz w:val="24"/>
          <w:szCs w:val="24"/>
        </w:rPr>
        <w:t>карбогидразидом</w:t>
      </w:r>
      <w:proofErr w:type="spellEnd"/>
      <w:r w:rsidR="009C4687" w:rsidRPr="009C4687">
        <w:rPr>
          <w:rFonts w:ascii="Times New Roman" w:hAnsi="Times New Roman" w:cs="Times New Roman"/>
          <w:sz w:val="24"/>
          <w:szCs w:val="24"/>
        </w:rPr>
        <w:t xml:space="preserve"> в растворах HNO</w:t>
      </w:r>
      <w:r w:rsidR="009C4687" w:rsidRPr="009C468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C4687" w:rsidRPr="009C4687">
        <w:rPr>
          <w:rFonts w:ascii="Times New Roman" w:hAnsi="Times New Roman" w:cs="Times New Roman"/>
          <w:sz w:val="24"/>
          <w:szCs w:val="24"/>
        </w:rPr>
        <w:t xml:space="preserve"> [1] и HClO</w:t>
      </w:r>
      <w:r w:rsidR="009C4687" w:rsidRPr="009C468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9C4687" w:rsidRPr="009C4687">
        <w:rPr>
          <w:rFonts w:ascii="Times New Roman" w:hAnsi="Times New Roman" w:cs="Times New Roman"/>
          <w:sz w:val="24"/>
          <w:szCs w:val="24"/>
        </w:rPr>
        <w:t xml:space="preserve"> [2]. Была отмечена высокая скорость восстановления </w:t>
      </w:r>
      <w:proofErr w:type="spellStart"/>
      <w:r w:rsidR="009C4687" w:rsidRPr="009C4687">
        <w:rPr>
          <w:rFonts w:ascii="Times New Roman" w:hAnsi="Times New Roman" w:cs="Times New Roman"/>
          <w:sz w:val="24"/>
          <w:szCs w:val="24"/>
        </w:rPr>
        <w:t>Np</w:t>
      </w:r>
      <w:proofErr w:type="spellEnd"/>
      <w:r w:rsidR="009C4687" w:rsidRPr="009C4687">
        <w:rPr>
          <w:rFonts w:ascii="Times New Roman" w:hAnsi="Times New Roman" w:cs="Times New Roman"/>
          <w:sz w:val="24"/>
          <w:szCs w:val="24"/>
        </w:rPr>
        <w:t xml:space="preserve">(VI) до </w:t>
      </w:r>
      <w:proofErr w:type="spellStart"/>
      <w:r w:rsidR="009C4687" w:rsidRPr="009C4687">
        <w:rPr>
          <w:rFonts w:ascii="Times New Roman" w:hAnsi="Times New Roman" w:cs="Times New Roman"/>
          <w:sz w:val="24"/>
          <w:szCs w:val="24"/>
        </w:rPr>
        <w:t>Np</w:t>
      </w:r>
      <w:proofErr w:type="spellEnd"/>
      <w:r w:rsidR="009C4687" w:rsidRPr="009C4687">
        <w:rPr>
          <w:rFonts w:ascii="Times New Roman" w:hAnsi="Times New Roman" w:cs="Times New Roman"/>
          <w:sz w:val="24"/>
          <w:szCs w:val="24"/>
        </w:rPr>
        <w:t>(V) при комнатной температуре, была подробно изучена стехиометрия и кинетика этой реакции.</w:t>
      </w:r>
    </w:p>
    <w:p w14:paraId="7F3DA28E" w14:textId="47718961" w:rsidR="008160A6" w:rsidRPr="008160A6" w:rsidRDefault="008160A6" w:rsidP="008160A6">
      <w:pPr>
        <w:ind w:firstLine="709"/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512576A" wp14:editId="19297F1A">
            <wp:simplePos x="0" y="0"/>
            <wp:positionH relativeFrom="margin">
              <wp:align>left</wp:align>
            </wp:positionH>
            <wp:positionV relativeFrom="paragraph">
              <wp:posOffset>1774825</wp:posOffset>
            </wp:positionV>
            <wp:extent cx="3240000" cy="2628000"/>
            <wp:effectExtent l="0" t="0" r="0" b="1270"/>
            <wp:wrapTopAndBottom/>
            <wp:docPr id="4" name="Рисунок 4" descr="1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рисун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0" t="9343" r="12582" b="6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6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4B10">
        <w:t>В данной работе представлены результаты процессов</w:t>
      </w:r>
      <w:r w:rsidR="009C4687">
        <w:t xml:space="preserve"> восстановления </w:t>
      </w:r>
      <w:r w:rsidR="00AF4B10">
        <w:t>плутония</w:t>
      </w:r>
      <w:r w:rsidR="009C4687">
        <w:t xml:space="preserve"> </w:t>
      </w:r>
      <w:proofErr w:type="spellStart"/>
      <w:r w:rsidR="009C4687">
        <w:t>карбогидразидом</w:t>
      </w:r>
      <w:proofErr w:type="spellEnd"/>
      <w:r w:rsidR="009C4687">
        <w:t xml:space="preserve"> в среде HClO</w:t>
      </w:r>
      <w:r w:rsidR="009C4687">
        <w:rPr>
          <w:vertAlign w:val="subscript"/>
        </w:rPr>
        <w:t>4</w:t>
      </w:r>
      <w:r w:rsidR="00AF4B10">
        <w:t xml:space="preserve">, при этом в качестве исходного раствора были использованы как раствор </w:t>
      </w:r>
      <w:r w:rsidR="00AF4B10">
        <w:rPr>
          <w:lang w:val="en-US"/>
        </w:rPr>
        <w:t>Pu</w:t>
      </w:r>
      <w:r w:rsidR="00AF4B10" w:rsidRPr="004F2C8E">
        <w:t>(</w:t>
      </w:r>
      <w:r w:rsidR="00AF4B10">
        <w:rPr>
          <w:lang w:val="en-US"/>
        </w:rPr>
        <w:t>VI</w:t>
      </w:r>
      <w:r w:rsidR="00AF4B10" w:rsidRPr="004F2C8E">
        <w:t>)</w:t>
      </w:r>
      <w:r w:rsidR="00AF4B10">
        <w:t xml:space="preserve">, так и раствор </w:t>
      </w:r>
      <w:r w:rsidR="00AF4B10">
        <w:rPr>
          <w:lang w:val="en-US"/>
        </w:rPr>
        <w:t>Pu</w:t>
      </w:r>
      <w:r w:rsidR="00AF4B10" w:rsidRPr="004F2C8E">
        <w:t>(</w:t>
      </w:r>
      <w:r w:rsidR="00AF4B10">
        <w:rPr>
          <w:lang w:val="en-US"/>
        </w:rPr>
        <w:t>IV</w:t>
      </w:r>
      <w:r w:rsidR="00AF4B10" w:rsidRPr="004F2C8E">
        <w:t>).</w:t>
      </w:r>
      <w:r w:rsidR="00AF4B10">
        <w:t xml:space="preserve"> </w:t>
      </w:r>
      <w:r w:rsidR="009C4687">
        <w:t xml:space="preserve"> </w:t>
      </w:r>
      <w:r w:rsidR="00AF4B10">
        <w:t>В каждом случае скорость реакции определяли по уменьшению концентрации плутония в исходной степени окисления в растворе</w:t>
      </w:r>
      <w:r w:rsidRPr="008160A6">
        <w:t xml:space="preserve"> (</w:t>
      </w:r>
      <w:r>
        <w:t>рис. 1)</w:t>
      </w:r>
      <w:r w:rsidR="009C4687">
        <w:t xml:space="preserve">. Измерение концентрации плутония в растворе проводили при помощи спектрометрии в видимой и инфракрасной областях. </w:t>
      </w:r>
      <w:r w:rsidR="00AF4B10">
        <w:t>Были получены зависимости</w:t>
      </w:r>
      <w:r w:rsidR="009C4687">
        <w:t xml:space="preserve"> скорости реакции от концентрации </w:t>
      </w:r>
      <w:proofErr w:type="spellStart"/>
      <w:r w:rsidR="009C4687">
        <w:t>карбогидразида</w:t>
      </w:r>
      <w:proofErr w:type="spellEnd"/>
      <w:r w:rsidR="009C4687">
        <w:t>, плутония и хлорной кислоты, установлены порядки реакции по всем компонентам</w:t>
      </w:r>
      <w:r w:rsidR="00AF4B10">
        <w:t xml:space="preserve">. Также была </w:t>
      </w:r>
      <w:r w:rsidR="009C4687">
        <w:t>исследована стехиометрия</w:t>
      </w:r>
      <w:r w:rsidR="00AF4B10">
        <w:t xml:space="preserve"> и температурная зависимость</w:t>
      </w:r>
      <w:r w:rsidR="009C4687">
        <w:t xml:space="preserve"> протекающей окислительно-восстановительной реакции. </w:t>
      </w:r>
    </w:p>
    <w:p w14:paraId="022FC08C" w14:textId="1210BF6B" w:rsidR="00A02163" w:rsidRPr="00AE6194" w:rsidRDefault="009C4687" w:rsidP="008160A6">
      <w:pPr>
        <w:jc w:val="center"/>
      </w:pPr>
      <w:r w:rsidRPr="009C4687">
        <w:t xml:space="preserve">Рис. 1. Зависимость скорости реакции от концентрации </w:t>
      </w:r>
      <w:proofErr w:type="spellStart"/>
      <w:r w:rsidRPr="009C4687">
        <w:t>карбогидразида</w:t>
      </w:r>
      <w:proofErr w:type="spellEnd"/>
      <w:r w:rsidRPr="009C4687">
        <w:t xml:space="preserve">. </w:t>
      </w:r>
      <w:r w:rsidRPr="00AE6194">
        <w:t>[</w:t>
      </w:r>
      <w:r w:rsidRPr="009C4687">
        <w:rPr>
          <w:lang w:val="en-US"/>
        </w:rPr>
        <w:t>HClO</w:t>
      </w:r>
      <w:r w:rsidRPr="00AE6194">
        <w:rPr>
          <w:vertAlign w:val="subscript"/>
        </w:rPr>
        <w:t>4</w:t>
      </w:r>
      <w:r w:rsidRPr="00AE6194">
        <w:t xml:space="preserve">] = 0,15 </w:t>
      </w:r>
      <w:r w:rsidRPr="009C4687">
        <w:rPr>
          <w:lang w:val="en-US"/>
        </w:rPr>
        <w:t>M</w:t>
      </w:r>
      <w:r w:rsidRPr="00AE6194">
        <w:t>, [</w:t>
      </w:r>
      <w:r w:rsidRPr="009C4687">
        <w:rPr>
          <w:lang w:val="en-US"/>
        </w:rPr>
        <w:t>Pu</w:t>
      </w:r>
      <w:r w:rsidRPr="00AE6194">
        <w:t xml:space="preserve"> (</w:t>
      </w:r>
      <w:r w:rsidRPr="009C4687">
        <w:rPr>
          <w:lang w:val="en-US"/>
        </w:rPr>
        <w:t>VI</w:t>
      </w:r>
      <w:r w:rsidRPr="00AE6194">
        <w:t xml:space="preserve">)] = 0,001 </w:t>
      </w:r>
      <w:r w:rsidRPr="009C4687">
        <w:rPr>
          <w:lang w:val="en-US"/>
        </w:rPr>
        <w:t>M</w:t>
      </w:r>
      <w:r w:rsidRPr="00AE6194">
        <w:t>, [(</w:t>
      </w:r>
      <w:r w:rsidRPr="008160A6">
        <w:rPr>
          <w:lang w:val="en-US"/>
        </w:rPr>
        <w:t>NH</w:t>
      </w:r>
      <w:r w:rsidRPr="00AE6194">
        <w:rPr>
          <w:vertAlign w:val="subscript"/>
        </w:rPr>
        <w:t>2</w:t>
      </w:r>
      <w:r w:rsidRPr="008160A6">
        <w:rPr>
          <w:lang w:val="en-US"/>
        </w:rPr>
        <w:t>NH</w:t>
      </w:r>
      <w:r w:rsidRPr="00AE6194">
        <w:t>)</w:t>
      </w:r>
      <w:r w:rsidRPr="00AE6194">
        <w:rPr>
          <w:vertAlign w:val="subscript"/>
        </w:rPr>
        <w:t>2</w:t>
      </w:r>
      <w:r w:rsidRPr="008160A6">
        <w:rPr>
          <w:lang w:val="en-US"/>
        </w:rPr>
        <w:t>CO</w:t>
      </w:r>
      <w:r w:rsidRPr="00AE6194">
        <w:t xml:space="preserve">], </w:t>
      </w:r>
      <w:r w:rsidRPr="009C4687">
        <w:t>моль</w:t>
      </w:r>
      <w:r w:rsidRPr="00AE6194">
        <w:t>/</w:t>
      </w:r>
      <w:r w:rsidRPr="009C4687">
        <w:t>л</w:t>
      </w:r>
      <w:r w:rsidRPr="00AE6194">
        <w:t>: (1) 0,005, (2) 0,03</w:t>
      </w:r>
      <w:r w:rsidR="008160A6" w:rsidRPr="00AE6194">
        <w:t>, (3) 0,05</w:t>
      </w:r>
    </w:p>
    <w:p w14:paraId="0000000E" w14:textId="77777777" w:rsidR="00130241" w:rsidRPr="00AE6194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2F59D533" w14:textId="77777777" w:rsidR="008160A6" w:rsidRPr="00AE6194" w:rsidRDefault="008160A6" w:rsidP="008160A6">
      <w:pPr>
        <w:tabs>
          <w:tab w:val="left" w:pos="284"/>
        </w:tabs>
        <w:jc w:val="both"/>
      </w:pPr>
      <w:r w:rsidRPr="00AE6194">
        <w:t xml:space="preserve">1. </w:t>
      </w:r>
      <w:r>
        <w:rPr>
          <w:lang w:val="en-US"/>
        </w:rPr>
        <w:t>Volk</w:t>
      </w:r>
      <w:r w:rsidRPr="00AE6194">
        <w:t xml:space="preserve">, </w:t>
      </w:r>
      <w:r>
        <w:rPr>
          <w:lang w:val="en-US"/>
        </w:rPr>
        <w:t>V</w:t>
      </w:r>
      <w:r w:rsidRPr="00AE6194">
        <w:t>.</w:t>
      </w:r>
      <w:r>
        <w:rPr>
          <w:lang w:val="en-US"/>
        </w:rPr>
        <w:t>I</w:t>
      </w:r>
      <w:r w:rsidRPr="00AE6194">
        <w:t xml:space="preserve">., </w:t>
      </w:r>
      <w:r>
        <w:rPr>
          <w:lang w:val="en-US"/>
        </w:rPr>
        <w:t>Marchenko</w:t>
      </w:r>
      <w:r w:rsidRPr="00AE6194">
        <w:t xml:space="preserve">, </w:t>
      </w:r>
      <w:r>
        <w:rPr>
          <w:lang w:val="en-US"/>
        </w:rPr>
        <w:t>V</w:t>
      </w:r>
      <w:r w:rsidRPr="00AE6194">
        <w:t>.</w:t>
      </w:r>
      <w:r>
        <w:rPr>
          <w:lang w:val="en-US"/>
        </w:rPr>
        <w:t>I</w:t>
      </w:r>
      <w:r w:rsidRPr="00AE6194">
        <w:t xml:space="preserve">., </w:t>
      </w:r>
      <w:r>
        <w:rPr>
          <w:lang w:val="en-US"/>
        </w:rPr>
        <w:t>Dvoeglazov</w:t>
      </w:r>
      <w:r w:rsidRPr="00AE6194">
        <w:t xml:space="preserve">, </w:t>
      </w:r>
      <w:r>
        <w:rPr>
          <w:lang w:val="en-US"/>
        </w:rPr>
        <w:t>K</w:t>
      </w:r>
      <w:r w:rsidRPr="00AE6194">
        <w:t>.</w:t>
      </w:r>
      <w:r>
        <w:rPr>
          <w:lang w:val="en-US"/>
        </w:rPr>
        <w:t>N</w:t>
      </w:r>
      <w:r w:rsidRPr="00AE6194">
        <w:t xml:space="preserve">., </w:t>
      </w:r>
      <w:r>
        <w:rPr>
          <w:lang w:val="en-US"/>
        </w:rPr>
        <w:t>et</w:t>
      </w:r>
      <w:r w:rsidRPr="00AE6194">
        <w:t xml:space="preserve"> </w:t>
      </w:r>
      <w:r>
        <w:rPr>
          <w:lang w:val="en-US"/>
        </w:rPr>
        <w:t>al</w:t>
      </w:r>
      <w:r w:rsidRPr="00AE6194">
        <w:t xml:space="preserve">., </w:t>
      </w:r>
      <w:r>
        <w:rPr>
          <w:lang w:val="en-US"/>
        </w:rPr>
        <w:t>Radiochemistry</w:t>
      </w:r>
      <w:r w:rsidRPr="00AE6194">
        <w:t xml:space="preserve">, 2012, </w:t>
      </w:r>
      <w:r>
        <w:rPr>
          <w:lang w:val="en-US"/>
        </w:rPr>
        <w:t>vol</w:t>
      </w:r>
      <w:r w:rsidRPr="00AE6194">
        <w:t xml:space="preserve">. 54, </w:t>
      </w:r>
      <w:r>
        <w:rPr>
          <w:lang w:val="en-US"/>
        </w:rPr>
        <w:t>no</w:t>
      </w:r>
      <w:r w:rsidRPr="00AE6194">
        <w:t xml:space="preserve">. 2, </w:t>
      </w:r>
      <w:r>
        <w:rPr>
          <w:lang w:val="en-US"/>
        </w:rPr>
        <w:t>pp</w:t>
      </w:r>
      <w:r w:rsidRPr="00AE6194">
        <w:t>. 143–148.</w:t>
      </w:r>
    </w:p>
    <w:p w14:paraId="54D89699" w14:textId="2454D793" w:rsidR="008160A6" w:rsidRPr="00116478" w:rsidRDefault="008160A6" w:rsidP="008160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lang w:val="en-US"/>
        </w:rPr>
        <w:t>2. V. P. Shilov, A. M. Fedoseev, Radiochemistry, 2019, Vol. 61, No. 3, pp. 309–311.</w:t>
      </w:r>
    </w:p>
    <w:sectPr w:rsidR="008160A6" w:rsidRP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112571">
    <w:abstractNumId w:val="0"/>
  </w:num>
  <w:num w:numId="2" w16cid:durableId="1399287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E5806"/>
    <w:rsid w:val="001E61C2"/>
    <w:rsid w:val="001F0493"/>
    <w:rsid w:val="002264EE"/>
    <w:rsid w:val="0023307C"/>
    <w:rsid w:val="002F01A8"/>
    <w:rsid w:val="0031361E"/>
    <w:rsid w:val="00391C38"/>
    <w:rsid w:val="003B76D6"/>
    <w:rsid w:val="004A26A3"/>
    <w:rsid w:val="004F0EDF"/>
    <w:rsid w:val="004F2C8E"/>
    <w:rsid w:val="00522BF1"/>
    <w:rsid w:val="00527679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160A6"/>
    <w:rsid w:val="008931BE"/>
    <w:rsid w:val="008C67E3"/>
    <w:rsid w:val="00921D45"/>
    <w:rsid w:val="009A66DB"/>
    <w:rsid w:val="009B2F80"/>
    <w:rsid w:val="009B3300"/>
    <w:rsid w:val="009C4687"/>
    <w:rsid w:val="009F3380"/>
    <w:rsid w:val="00A02163"/>
    <w:rsid w:val="00A314FE"/>
    <w:rsid w:val="00AE6194"/>
    <w:rsid w:val="00AF4B10"/>
    <w:rsid w:val="00B600D1"/>
    <w:rsid w:val="00BE7F60"/>
    <w:rsid w:val="00BF36F8"/>
    <w:rsid w:val="00BF4622"/>
    <w:rsid w:val="00C72968"/>
    <w:rsid w:val="00CD00B1"/>
    <w:rsid w:val="00D22306"/>
    <w:rsid w:val="00D42542"/>
    <w:rsid w:val="00D8121C"/>
    <w:rsid w:val="00E22189"/>
    <w:rsid w:val="00E74069"/>
    <w:rsid w:val="00EB1F49"/>
    <w:rsid w:val="00F865B3"/>
    <w:rsid w:val="00FB1509"/>
    <w:rsid w:val="00FC0E16"/>
    <w:rsid w:val="00FC5ACB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9C46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C4687"/>
    <w:rPr>
      <w:rFonts w:ascii="Courier New" w:eastAsia="Times New Roman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AF4B1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F4B10"/>
    <w:rPr>
      <w:rFonts w:ascii="Segoe UI" w:eastAsia="Times New Roman" w:hAnsi="Segoe UI" w:cs="Segoe UI"/>
      <w:sz w:val="18"/>
      <w:szCs w:val="18"/>
    </w:rPr>
  </w:style>
  <w:style w:type="paragraph" w:styleId="ac">
    <w:name w:val="Revision"/>
    <w:hidden/>
    <w:uiPriority w:val="99"/>
    <w:semiHidden/>
    <w:rsid w:val="001E580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A9DA9D6-25D2-4A4D-A801-33F5433B5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Артём Шашков</cp:lastModifiedBy>
  <cp:revision>2</cp:revision>
  <dcterms:created xsi:type="dcterms:W3CDTF">2024-02-15T21:41:00Z</dcterms:created>
  <dcterms:modified xsi:type="dcterms:W3CDTF">2024-02-15T21:41:00Z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