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pBdr>
          <w:between w:val="nil"/>
          <w:top w:val="nil"/>
          <w:left w:val="nil"/>
          <w:bottom w:val="nil"/>
          <w:right w:val="nil"/>
        </w:pBd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Новые экстракционно-хроматографические сорбенты для выделения рения из облученных вольфрамовых мишеней </w:t>
      </w:r>
    </w:p>
    <w:p>
      <w:pPr>
        <w:jc w:val="center"/>
        <w:pBdr>
          <w:between w:val="nil"/>
          <w:top w:val="nil"/>
          <w:left w:val="nil"/>
          <w:bottom w:val="nil"/>
          <w:right w:val="nil"/>
        </w:pBdr>
        <w:shd w:val="clear" w:color="auto" w:fill="FFFFFF"/>
        <w:rPr>
          <w:color w:val="000000"/>
        </w:rPr>
      </w:pPr>
      <w:r>
        <w:rPr>
          <w:b/>
          <w:i/>
          <w:color w:val="000000"/>
        </w:rPr>
        <w:t>Масалимова А.Р</w:t>
      </w:r>
      <w:r>
        <w:rPr>
          <w:b/>
          <w:i/>
          <w:color w:val="000000"/>
          <w:rtl w:val="off"/>
        </w:rPr>
        <w:t>.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 Фуркина Е.Б.</w:t>
      </w:r>
      <w:r>
        <w:rPr>
          <w:b/>
          <w:i/>
          <w:color w:val="000000"/>
          <w:vertAlign w:val="superscript"/>
        </w:rPr>
        <w:t>2</w:t>
      </w:r>
    </w:p>
    <w:p>
      <w:pPr>
        <w:jc w:val="center"/>
        <w:pBdr>
          <w:between w:val="nil"/>
          <w:top w:val="nil"/>
          <w:left w:val="nil"/>
          <w:bottom w:val="nil"/>
          <w:right w:val="nil"/>
        </w:pBdr>
        <w:shd w:val="clear" w:color="auto" w:fill="FFFFFF"/>
        <w:rPr>
          <w:i/>
          <w:color w:val="000000"/>
        </w:rPr>
      </w:pPr>
      <w:r>
        <w:rPr>
          <w:i/>
          <w:color w:val="000000"/>
        </w:rPr>
        <w:t>Студент, 4 курс бакалавриата</w:t>
      </w:r>
    </w:p>
    <w:p>
      <w:pPr>
        <w:jc w:val="center"/>
        <w:pBdr>
          <w:between w:val="nil"/>
          <w:top w:val="nil"/>
          <w:left w:val="nil"/>
          <w:bottom w:val="nil"/>
          <w:right w:val="nil"/>
        </w:pBdr>
        <w:shd w:val="clear" w:color="auto" w:fill="FFFFFF"/>
        <w:rPr>
          <w:color w:val="000000"/>
        </w:rPr>
      </w:pPr>
      <w:r>
        <w:rPr>
          <w:i/>
          <w:iCs/>
          <w:color w:val="000000"/>
          <w:vertAlign w:val="superscript"/>
        </w:rPr>
        <w:t>1</w:t>
      </w:r>
      <w:r>
        <w:rPr>
          <w:i/>
          <w:iCs/>
          <w:color w:val="000000"/>
        </w:rPr>
        <w:t>Московский физико-технический институт (государственный университет), институт нано-, био-, информационных, когнитивных и социогуманитарных наук и технологий, Москва, Россия</w:t>
      </w:r>
    </w:p>
    <w:p>
      <w:pPr>
        <w:jc w:val="center"/>
        <w:shd w:val="clear" w:color="auto" w:fill="FFFFFF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Национальный исследовательский центр Курчатовский Институт, </w:t>
      </w:r>
    </w:p>
    <w:p>
      <w:pPr>
        <w:jc w:val="center"/>
        <w:pBdr>
          <w:between w:val="nil"/>
          <w:top w:val="nil"/>
          <w:left w:val="nil"/>
          <w:bottom w:val="nil"/>
          <w:right w:val="nil"/>
        </w:pBdr>
        <w:shd w:val="clear" w:color="auto" w:fill="FFFFFF"/>
        <w:rPr>
          <w:color w:val="000000"/>
        </w:rPr>
      </w:pPr>
      <w:r>
        <w:rPr>
          <w:i/>
          <w:color w:val="000000"/>
        </w:rPr>
        <w:t>Москва, Россия</w:t>
      </w:r>
    </w:p>
    <w:p>
      <w:pPr>
        <w:jc w:val="center"/>
        <w:pBdr>
          <w:between w:val="nil"/>
          <w:top w:val="nil"/>
          <w:left w:val="nil"/>
          <w:bottom w:val="nil"/>
          <w:right w:val="nil"/>
        </w:pBdr>
        <w:shd w:val="clear" w:color="auto" w:fill="FFFFFF"/>
        <w:rPr>
          <w:lang w:val="en-US"/>
          <w:color w:val="000000"/>
        </w:rPr>
      </w:pPr>
      <w:r>
        <w:rPr>
          <w:lang w:val="en-US"/>
          <w:i/>
          <w:color w:val="000000"/>
        </w:rPr>
        <w:t xml:space="preserve">E-mail: </w:t>
      </w:r>
      <w:r>
        <w:rPr>
          <w:lang w:val="en-US"/>
          <w:i/>
          <w:color w:val="000000"/>
          <w:u w:val="single" w:color="auto"/>
        </w:rPr>
        <w:t>aliya.masalimova.02@bk.ru</w:t>
      </w:r>
    </w:p>
    <w:p>
      <w:pPr>
        <w:ind w:firstLine="397"/>
        <w:jc w:val="both"/>
        <w:shd w:val="clear" w:color="auto" w:fill="FFFFFF"/>
        <w:rPr>
          <w:color w:val="000000"/>
        </w:rPr>
      </w:pPr>
      <w:r>
        <w:rPr>
          <w:color w:val="000000"/>
        </w:rPr>
        <w:t xml:space="preserve">Одной из важных задач ядерной медицины является поиск новых радионуклидов, которые можно использовать в радиофармпрепаратах для диагностики и терапии различных заболеваний, а также разработка способов получения перспективных радионуклидов и их выделения из облученных мишеней. Большой интерес благодаря своим ядерно-физическим свойствам вызывают изотопы </w:t>
      </w:r>
      <w:r>
        <w:rPr>
          <w:color w:val="000000"/>
          <w:vertAlign w:val="superscript"/>
        </w:rPr>
        <w:t>188</w:t>
      </w:r>
      <w:r>
        <w:rPr>
          <w:color w:val="000000"/>
        </w:rPr>
        <w:t>Re (t</w:t>
      </w:r>
      <w:r>
        <w:rPr>
          <w:color w:val="000000"/>
          <w:vertAlign w:val="subscript"/>
        </w:rPr>
        <w:t xml:space="preserve">1\2 </w:t>
      </w:r>
      <w:r>
        <w:rPr>
          <w:color w:val="000000"/>
        </w:rPr>
        <w:t>= 17,0 ч, E</w:t>
      </w:r>
      <w:r>
        <w:rPr>
          <w:color w:val="000000"/>
          <w:vertAlign w:val="subscript"/>
        </w:rPr>
        <w:t>βmax</w:t>
      </w:r>
      <w:r>
        <w:rPr>
          <w:color w:val="000000"/>
        </w:rPr>
        <w:t xml:space="preserve"> = 2,12 МэВ, E</w:t>
      </w:r>
      <w:r>
        <w:rPr>
          <w:color w:val="000000"/>
          <w:vertAlign w:val="subscript"/>
        </w:rPr>
        <w:t>γ</w:t>
      </w:r>
      <w:r>
        <w:rPr>
          <w:color w:val="000000"/>
        </w:rPr>
        <w:t xml:space="preserve"> = 155 кэВ, 15%) и </w:t>
      </w:r>
      <w:r>
        <w:rPr>
          <w:color w:val="000000"/>
          <w:vertAlign w:val="superscript"/>
        </w:rPr>
        <w:t>186</w:t>
      </w:r>
      <w:r>
        <w:rPr>
          <w:color w:val="000000"/>
        </w:rPr>
        <w:t>Re (t</w:t>
      </w:r>
      <w:r>
        <w:rPr>
          <w:color w:val="000000"/>
          <w:vertAlign w:val="subscript"/>
        </w:rPr>
        <w:t xml:space="preserve">1\2 </w:t>
      </w:r>
      <w:r>
        <w:rPr>
          <w:color w:val="000000"/>
        </w:rPr>
        <w:t>= 89,3 ч, E</w:t>
      </w:r>
      <w:r>
        <w:rPr>
          <w:color w:val="000000"/>
          <w:vertAlign w:val="subscript"/>
        </w:rPr>
        <w:t>βmax</w:t>
      </w:r>
      <w:r>
        <w:rPr>
          <w:color w:val="000000"/>
        </w:rPr>
        <w:t xml:space="preserve"> = 1,07 МэВ, E</w:t>
      </w:r>
      <w:r>
        <w:rPr>
          <w:color w:val="000000"/>
          <w:vertAlign w:val="subscript"/>
        </w:rPr>
        <w:t>γ</w:t>
      </w:r>
      <w:r>
        <w:rPr>
          <w:color w:val="000000"/>
        </w:rPr>
        <w:t xml:space="preserve"> = 137 кэВ, 9%). Благодаря небольшому пробегу β-частиц препараты с данными нуклидами можно использовать в терапии при борьбе с небольшими опухолями, а наличие подходящего гамма-излучения позволяет детектировать работу препарата с помощью ОФЭКТ. Также схожие химические свойства позволяют использовать Re в паре с </w:t>
      </w:r>
      <w:r>
        <w:rPr>
          <w:color w:val="000000"/>
          <w:vertAlign w:val="superscript"/>
        </w:rPr>
        <w:t>99m</w:t>
      </w:r>
      <w:r>
        <w:rPr>
          <w:color w:val="000000"/>
        </w:rPr>
        <w:t xml:space="preserve">Tc, широко применяющимся в ядерной медицине долгое время. </w:t>
      </w:r>
      <w:r>
        <w:rPr>
          <w:color w:val="000000"/>
          <w:vertAlign w:val="superscript"/>
        </w:rPr>
        <w:t>186</w:t>
      </w:r>
      <w:r>
        <w:rPr>
          <w:color w:val="000000"/>
        </w:rPr>
        <w:t>Re благодаря более мягкому β-излучению и более долгому периоду полураспада рассматривается как более удобный</w:t>
      </w:r>
      <w:r>
        <w:rPr>
          <w:color w:val="000000"/>
          <w:rtl w:val="off"/>
        </w:rPr>
        <w:t xml:space="preserve"> </w:t>
      </w:r>
      <w:r>
        <w:rPr>
          <w:color w:val="000000"/>
        </w:rPr>
        <w:t>радионуклид для применения в терапии. Нашей научной группой разработана методика выделения Re из облученных вольфрамовых мишеней с помощью экстракционно-хроматографического сорбента TEVA Resin на основе соли четвертичного амина. Однако в данный момент актуальной задачей является замена сорбента иностранного производства на отечественные аналоги.</w:t>
      </w:r>
    </w:p>
    <w:p>
      <w:pPr>
        <w:ind w:firstLine="397"/>
        <w:jc w:val="both"/>
        <w:shd w:val="clear" w:color="auto" w:fill="FFFFFF"/>
        <w:rPr>
          <w:color w:val="000000"/>
        </w:rPr>
      </w:pPr>
      <w:r>
        <w:rPr>
          <w:color w:val="000000"/>
        </w:rPr>
        <w:t xml:space="preserve">В данной работе изучена сорбция стабильных вольфрама и рения на отечественных экстракционно-хроматографических сорбентах на основе экстрагента метилтриоктиламмоний нитрата, нанесенного на матрицы LPS-500 (сополимер стирола с дивинилбензолом) или ГС-1 (гидрофобизированный силикагель) в азотнокислой и солянокислой средах в широком диапазоне концентраций (0,1; 0,5; 1; 5; 8 М), а также в щелочной среде в широком диапазоне концентраций (0,1; 0,5; 1; 5 М). Результаты эксперимента контролировались с помощью ICP-OES. Для всех представленных сред и концентраций были рассчитаны коэффициенты распределения Kd, а на их основе были предложены методики выделения рения из облученных вольфрамовых мишеней. </w:t>
      </w:r>
    </w:p>
    <w:p>
      <w:pPr>
        <w:ind w:firstLine="397"/>
        <w:jc w:val="both"/>
        <w:pBdr>
          <w:between w:val="nil"/>
          <w:top w:val="nil"/>
          <w:left w:val="nil"/>
          <w:bottom w:val="nil"/>
          <w:right w:val="nil"/>
        </w:pBdr>
        <w:shd w:val="clear" w:color="auto" w:fill="FFFFFF"/>
        <w:rPr>
          <w:color w:val="000000"/>
        </w:rPr>
      </w:pPr>
    </w:p>
    <w:p/>
    <w:sectPr>
      <w:pgSz w:w="11906" w:h="16838"/>
      <w:pgMar w:top="1134" w:right="1361" w:bottom="1134" w:left="1361" w:header="709" w:footer="709" w:gutter="0"/>
      <w:cols w:space="720"/>
      <w:docGrid w:linePitch="36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="Calibri" w:eastAsia="Calibri" w:hAnsi="Calibri" w:cs="Calibri"/>
      </w:rPr>
    </w:rPrDefault>
    <w:pPrDefault>
      <w:pPr/>
    </w:pPrDefault>
  </w:docDefaults>
  <w:style w:type="paragraph" w:default="1" w:styleId="a1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2024-02-16T10:44:00Z</dcterms:created>
  <dcterms:modified xsi:type="dcterms:W3CDTF">2024-02-16T12:04:43Z</dcterms:modified>
  <cp:version>0900.0100.01</cp:version>
</cp:coreProperties>
</file>