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84" w:rsidRPr="00B55F84" w:rsidRDefault="00B55F84" w:rsidP="00B55F84">
      <w:pPr>
        <w:jc w:val="center"/>
        <w:rPr>
          <w:b/>
        </w:rPr>
      </w:pPr>
      <w:r w:rsidRPr="00B55F84">
        <w:rPr>
          <w:b/>
        </w:rPr>
        <w:t>Получение гидрата фреона из снежной массы в органической матрице</w:t>
      </w:r>
    </w:p>
    <w:p w:rsidR="00B55F84" w:rsidRPr="00B55F84" w:rsidRDefault="00B55F84" w:rsidP="00B5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5F84">
        <w:rPr>
          <w:b/>
          <w:i/>
          <w:color w:val="000000"/>
        </w:rPr>
        <w:t>Решетникова В.Р.</w:t>
      </w:r>
      <w:r w:rsidRPr="00B55F84">
        <w:rPr>
          <w:b/>
          <w:i/>
          <w:color w:val="000000"/>
          <w:vertAlign w:val="superscript"/>
        </w:rPr>
        <w:t>1</w:t>
      </w:r>
      <w:r w:rsidRPr="00B55F84">
        <w:rPr>
          <w:b/>
          <w:i/>
          <w:color w:val="000000"/>
        </w:rPr>
        <w:t xml:space="preserve">, </w:t>
      </w:r>
      <w:proofErr w:type="spellStart"/>
      <w:r w:rsidRPr="00B55F84">
        <w:rPr>
          <w:b/>
          <w:i/>
          <w:color w:val="000000"/>
        </w:rPr>
        <w:t>Стручкова</w:t>
      </w:r>
      <w:proofErr w:type="spellEnd"/>
      <w:r w:rsidRPr="00B55F84">
        <w:rPr>
          <w:b/>
          <w:i/>
          <w:color w:val="000000"/>
        </w:rPr>
        <w:t xml:space="preserve"> Н.В.</w:t>
      </w:r>
      <w:r w:rsidRPr="00B55F84">
        <w:rPr>
          <w:b/>
          <w:i/>
          <w:color w:val="000000"/>
          <w:vertAlign w:val="superscript"/>
        </w:rPr>
        <w:t>1,2</w:t>
      </w:r>
    </w:p>
    <w:p w:rsidR="00B55F84" w:rsidRPr="00B55F84" w:rsidRDefault="00B55F84" w:rsidP="00B5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5F84">
        <w:rPr>
          <w:i/>
          <w:color w:val="000000"/>
        </w:rPr>
        <w:t xml:space="preserve">Студентка, 1 курс </w:t>
      </w:r>
      <w:proofErr w:type="spellStart"/>
      <w:r w:rsidRPr="00B55F84">
        <w:rPr>
          <w:i/>
          <w:color w:val="000000"/>
        </w:rPr>
        <w:t>бакалавриата</w:t>
      </w:r>
      <w:proofErr w:type="spellEnd"/>
    </w:p>
    <w:p w:rsidR="00B55F84" w:rsidRPr="00B55F84" w:rsidRDefault="00B55F84" w:rsidP="00B5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5F84">
        <w:rPr>
          <w:i/>
          <w:color w:val="000000"/>
          <w:vertAlign w:val="superscript"/>
        </w:rPr>
        <w:t>1</w:t>
      </w:r>
      <w:r w:rsidRPr="00B55F84">
        <w:rPr>
          <w:i/>
          <w:color w:val="000000"/>
        </w:rPr>
        <w:t xml:space="preserve">Северо-Восточный Федеральный университет имени </w:t>
      </w:r>
      <w:proofErr w:type="spellStart"/>
      <w:r w:rsidRPr="00B55F84">
        <w:rPr>
          <w:i/>
          <w:color w:val="000000"/>
        </w:rPr>
        <w:t>М.К.Аммосова</w:t>
      </w:r>
      <w:proofErr w:type="spellEnd"/>
      <w:r w:rsidRPr="00B55F84">
        <w:rPr>
          <w:i/>
          <w:color w:val="000000"/>
        </w:rPr>
        <w:t>,</w:t>
      </w:r>
    </w:p>
    <w:p w:rsidR="00B55F84" w:rsidRPr="00B55F84" w:rsidRDefault="00B55F84" w:rsidP="00B5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5F84">
        <w:rPr>
          <w:i/>
          <w:color w:val="000000"/>
        </w:rPr>
        <w:t>институт естественных наук, Якутск, Россия</w:t>
      </w:r>
    </w:p>
    <w:p w:rsidR="00B55F84" w:rsidRPr="00B55F84" w:rsidRDefault="00B55F84" w:rsidP="00B5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5F84">
        <w:rPr>
          <w:i/>
          <w:color w:val="000000"/>
          <w:vertAlign w:val="superscript"/>
        </w:rPr>
        <w:t>2</w:t>
      </w:r>
      <w:r w:rsidRPr="00B55F84">
        <w:rPr>
          <w:i/>
          <w:color w:val="000000"/>
        </w:rPr>
        <w:t xml:space="preserve">Институт физико-технических проблем Севера имени </w:t>
      </w:r>
      <w:proofErr w:type="spellStart"/>
      <w:r w:rsidRPr="00B55F84">
        <w:rPr>
          <w:i/>
          <w:color w:val="000000"/>
        </w:rPr>
        <w:t>В.П.Ларионова</w:t>
      </w:r>
      <w:proofErr w:type="spellEnd"/>
      <w:r w:rsidRPr="00B55F84">
        <w:rPr>
          <w:i/>
          <w:color w:val="000000"/>
        </w:rPr>
        <w:t>,</w:t>
      </w:r>
      <w:r w:rsidRPr="00B55F84">
        <w:rPr>
          <w:i/>
          <w:color w:val="000000"/>
        </w:rPr>
        <w:br/>
        <w:t>отдел материаловедения, Якутск, Россия</w:t>
      </w:r>
    </w:p>
    <w:p w:rsidR="00B55F84" w:rsidRPr="00B55F84" w:rsidRDefault="00B55F84" w:rsidP="00B5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55F84">
        <w:rPr>
          <w:i/>
          <w:color w:val="000000"/>
        </w:rPr>
        <w:t>E-</w:t>
      </w:r>
      <w:proofErr w:type="spellStart"/>
      <w:r w:rsidRPr="00B55F84">
        <w:rPr>
          <w:i/>
          <w:color w:val="000000"/>
        </w:rPr>
        <w:t>mail</w:t>
      </w:r>
      <w:proofErr w:type="spellEnd"/>
      <w:r w:rsidRPr="00B55F84">
        <w:rPr>
          <w:i/>
          <w:color w:val="000000"/>
        </w:rPr>
        <w:t xml:space="preserve">: </w:t>
      </w:r>
      <w:proofErr w:type="spellStart"/>
      <w:r w:rsidRPr="00B55F84">
        <w:rPr>
          <w:i/>
          <w:color w:val="000000"/>
          <w:u w:val="single"/>
          <w:lang w:val="en-US"/>
        </w:rPr>
        <w:t>vikiresh</w:t>
      </w:r>
      <w:proofErr w:type="spellEnd"/>
      <w:r w:rsidRPr="00B55F84">
        <w:rPr>
          <w:i/>
          <w:color w:val="000000"/>
          <w:u w:val="single"/>
        </w:rPr>
        <w:t>2005@</w:t>
      </w:r>
      <w:proofErr w:type="spellStart"/>
      <w:r w:rsidRPr="00B55F84">
        <w:rPr>
          <w:i/>
          <w:color w:val="000000"/>
          <w:u w:val="single"/>
          <w:lang w:val="en-US"/>
        </w:rPr>
        <w:t>gmail</w:t>
      </w:r>
      <w:proofErr w:type="spellEnd"/>
      <w:r w:rsidRPr="00B55F84">
        <w:rPr>
          <w:i/>
          <w:color w:val="000000"/>
          <w:u w:val="single"/>
        </w:rPr>
        <w:t>.</w:t>
      </w:r>
      <w:r w:rsidRPr="00B55F84">
        <w:rPr>
          <w:i/>
          <w:color w:val="000000"/>
          <w:u w:val="single"/>
          <w:lang w:val="en-US"/>
        </w:rPr>
        <w:t>com</w:t>
      </w:r>
    </w:p>
    <w:p w:rsidR="00B55F84" w:rsidRPr="00B55F84" w:rsidRDefault="00B55F84" w:rsidP="00B55F84">
      <w:pPr>
        <w:ind w:firstLine="397"/>
        <w:jc w:val="both"/>
      </w:pPr>
      <w:r w:rsidRPr="00B55F84">
        <w:t>Газовые гидраты формируются из воды и неполярных газов при определенных термобарических условиях, в частности, существующие в природе гидраты природного газа (метана) образуются и устойчиво существуют только при пониженных температурах и высоких давлениях [1]. Помимо гидратов углеводородных газов существует класс гидратов фреонов, формирование которых происходит при относительно высоких температурах и низких давлениях. Именно такие "мягкие" условия получения делают их привлекательными агентами-</w:t>
      </w:r>
      <w:proofErr w:type="spellStart"/>
      <w:r w:rsidRPr="00B55F84">
        <w:t>гидратообразователями</w:t>
      </w:r>
      <w:proofErr w:type="spellEnd"/>
      <w:r w:rsidRPr="00B55F84">
        <w:t xml:space="preserve"> в целях моделирования процессов их образования/разложения в естественных условиях.</w:t>
      </w:r>
    </w:p>
    <w:p w:rsidR="00B55F84" w:rsidRPr="00B55F84" w:rsidRDefault="00B55F84" w:rsidP="00B55F84">
      <w:pPr>
        <w:ind w:firstLine="397"/>
        <w:jc w:val="both"/>
      </w:pPr>
      <w:r w:rsidRPr="00B55F84">
        <w:t>Целью работы являлось изучение кинетики разложения гидрата фреона, полученного в органических матрицах. Ввиду климатических особенностей Якутии, синтез гидрата чаще всего удавалось осуществлять в естественных условиях: при температурах окружающего воздуха от –45 до –35</w:t>
      </w:r>
      <w:proofErr w:type="gramStart"/>
      <w:r w:rsidRPr="00B55F84">
        <w:t> °С</w:t>
      </w:r>
      <w:proofErr w:type="gramEnd"/>
      <w:r w:rsidRPr="00B55F84">
        <w:t xml:space="preserve"> и атмосферном давлении 101.1 кПа (1 атм.) из снега массой 3 г и фреона 3.5 г. Кинетику разложения полученных гидратов изучали </w:t>
      </w:r>
      <w:proofErr w:type="spellStart"/>
      <w:r w:rsidRPr="00B55F84">
        <w:t>волюмометрически</w:t>
      </w:r>
      <w:proofErr w:type="spellEnd"/>
      <w:r w:rsidRPr="00B55F84">
        <w:t xml:space="preserve"> при трех температурах (10, 20 и 25 °С). По полученным данным строили графики в координатах "степень разложения, α – время, </w:t>
      </w:r>
      <w:r w:rsidRPr="00B55F84">
        <w:rPr>
          <w:lang w:val="en-US"/>
        </w:rPr>
        <w:t>t</w:t>
      </w:r>
      <w:r w:rsidRPr="00B55F84">
        <w:t xml:space="preserve">, мин". Кинетические кривые обрабатывали по уравнению кинетики реакций первого порядка, вычисляли константу </w:t>
      </w:r>
      <w:proofErr w:type="gramStart"/>
      <w:r w:rsidRPr="00B55F84">
        <w:t>скорости реакции разложения гидрата фреона</w:t>
      </w:r>
      <w:proofErr w:type="gramEnd"/>
      <w:r w:rsidRPr="00B55F84">
        <w:t xml:space="preserve">. Также подсчитывали температурный коэффициент Вант-Гоффа и энергию активации разложения гидрата </w:t>
      </w:r>
      <w:proofErr w:type="spellStart"/>
      <w:r w:rsidRPr="00B55F84">
        <w:rPr>
          <w:i/>
        </w:rPr>
        <w:t>Е</w:t>
      </w:r>
      <w:r w:rsidRPr="00B55F84">
        <w:rPr>
          <w:vertAlign w:val="subscript"/>
        </w:rPr>
        <w:t>а</w:t>
      </w:r>
      <w:proofErr w:type="spellEnd"/>
      <w:r w:rsidRPr="00B55F84">
        <w:t>.</w:t>
      </w:r>
    </w:p>
    <w:p w:rsidR="00B55F84" w:rsidRPr="00B55F84" w:rsidRDefault="00B55F84" w:rsidP="00B55F84">
      <w:pPr>
        <w:ind w:firstLine="397"/>
        <w:jc w:val="both"/>
      </w:pPr>
      <w:proofErr w:type="spellStart"/>
      <w:r w:rsidRPr="00B55F84">
        <w:t>Газосодержание</w:t>
      </w:r>
      <w:proofErr w:type="spellEnd"/>
      <w:r w:rsidRPr="00B55F84">
        <w:t xml:space="preserve"> гидрата фреона, полученного из снега, составляет 40 мл/1 г воды, а </w:t>
      </w:r>
      <w:proofErr w:type="spellStart"/>
      <w:r w:rsidRPr="00B55F84">
        <w:t>газосодержание</w:t>
      </w:r>
      <w:proofErr w:type="spellEnd"/>
      <w:r w:rsidRPr="00B55F84">
        <w:t xml:space="preserve"> гидрата в органических средах составило: в составе торфа – 3.6 мл/1 г воды, а в составе мха – 3.5 мл/1 г воды, </w:t>
      </w:r>
      <w:r w:rsidR="0094493A" w:rsidRPr="00B55F84">
        <w:t>что,</w:t>
      </w:r>
      <w:r w:rsidRPr="00B55F84">
        <w:t xml:space="preserve"> </w:t>
      </w:r>
      <w:r w:rsidR="0094493A" w:rsidRPr="00B55F84">
        <w:t>по-видимому,</w:t>
      </w:r>
      <w:bookmarkStart w:id="0" w:name="_GoBack"/>
      <w:bookmarkEnd w:id="0"/>
      <w:r w:rsidRPr="00B55F84">
        <w:t xml:space="preserve"> связано с неравномерностью формирования гидратов в органических матрицах.</w:t>
      </w:r>
    </w:p>
    <w:p w:rsidR="00B55F84" w:rsidRPr="00B55F84" w:rsidRDefault="00B55F84" w:rsidP="00B55F84">
      <w:pPr>
        <w:ind w:firstLine="397"/>
        <w:jc w:val="both"/>
      </w:pPr>
      <w:r w:rsidRPr="00B55F84">
        <w:t>Кинетические параметры диссоциации гидратов фреона в различной матрице, приведены в таблице 1.</w:t>
      </w:r>
    </w:p>
    <w:p w:rsidR="00B55F84" w:rsidRPr="00B55F84" w:rsidRDefault="00B55F84" w:rsidP="00B55F84">
      <w:r w:rsidRPr="00B55F84">
        <w:t xml:space="preserve">Таблица 1. </w:t>
      </w:r>
      <w:r w:rsidRPr="00B55F84">
        <w:rPr>
          <w:bCs/>
        </w:rPr>
        <w:t>Кинетические параметры разложения гидрата фреона</w:t>
      </w:r>
    </w:p>
    <w:tbl>
      <w:tblPr>
        <w:tblStyle w:val="10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992"/>
        <w:gridCol w:w="1984"/>
        <w:gridCol w:w="1985"/>
        <w:gridCol w:w="2276"/>
      </w:tblGrid>
      <w:tr w:rsidR="00B55F84" w:rsidRPr="00B55F84" w:rsidTr="00DF1291">
        <w:trPr>
          <w:jc w:val="center"/>
        </w:trPr>
        <w:tc>
          <w:tcPr>
            <w:tcW w:w="1848" w:type="dxa"/>
          </w:tcPr>
          <w:p w:rsidR="00B55F84" w:rsidRPr="00B55F84" w:rsidRDefault="00B55F84" w:rsidP="00B55F84">
            <w:r w:rsidRPr="00B55F84">
              <w:t>Параметр</w:t>
            </w:r>
          </w:p>
        </w:tc>
        <w:tc>
          <w:tcPr>
            <w:tcW w:w="992" w:type="dxa"/>
          </w:tcPr>
          <w:p w:rsidR="00B55F84" w:rsidRPr="00B55F84" w:rsidRDefault="00B55F84" w:rsidP="00B55F84">
            <w:pPr>
              <w:ind w:left="34"/>
            </w:pPr>
            <w:r w:rsidRPr="00B55F84">
              <w:t>Т, К</w:t>
            </w:r>
          </w:p>
        </w:tc>
        <w:tc>
          <w:tcPr>
            <w:tcW w:w="1984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Гидрат фреона из снежной массы</w:t>
            </w:r>
          </w:p>
        </w:tc>
        <w:tc>
          <w:tcPr>
            <w:tcW w:w="1985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Гидрат фреона в составе торфа</w:t>
            </w:r>
          </w:p>
        </w:tc>
        <w:tc>
          <w:tcPr>
            <w:tcW w:w="2276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Гидрат фреона в составе мха</w:t>
            </w:r>
          </w:p>
        </w:tc>
      </w:tr>
      <w:tr w:rsidR="00B55F84" w:rsidRPr="00B55F84" w:rsidTr="00DF1291">
        <w:trPr>
          <w:jc w:val="center"/>
        </w:trPr>
        <w:tc>
          <w:tcPr>
            <w:tcW w:w="1848" w:type="dxa"/>
            <w:vMerge w:val="restart"/>
          </w:tcPr>
          <w:p w:rsidR="00B55F84" w:rsidRPr="00B55F84" w:rsidRDefault="00B55F84" w:rsidP="00B55F84">
            <w:r w:rsidRPr="00B55F84">
              <w:t>Константа скорости,</w:t>
            </w:r>
            <w:r w:rsidRPr="00B55F84">
              <w:rPr>
                <w:lang w:val="en-US"/>
              </w:rPr>
              <w:t xml:space="preserve"> </w:t>
            </w:r>
            <w:r w:rsidRPr="00B55F84">
              <w:t>К, мин</w:t>
            </w:r>
            <w:r w:rsidRPr="00B55F84">
              <w:rPr>
                <w:vertAlign w:val="superscript"/>
              </w:rPr>
              <w:t>-1</w:t>
            </w:r>
          </w:p>
        </w:tc>
        <w:tc>
          <w:tcPr>
            <w:tcW w:w="992" w:type="dxa"/>
            <w:vAlign w:val="center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283</w:t>
            </w:r>
          </w:p>
        </w:tc>
        <w:tc>
          <w:tcPr>
            <w:tcW w:w="1984" w:type="dxa"/>
            <w:vAlign w:val="center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0.37</w:t>
            </w:r>
          </w:p>
        </w:tc>
        <w:tc>
          <w:tcPr>
            <w:tcW w:w="1985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1.59</w:t>
            </w:r>
          </w:p>
        </w:tc>
        <w:tc>
          <w:tcPr>
            <w:tcW w:w="2276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0.60</w:t>
            </w:r>
          </w:p>
        </w:tc>
      </w:tr>
      <w:tr w:rsidR="00B55F84" w:rsidRPr="00B55F84" w:rsidTr="00DF1291">
        <w:trPr>
          <w:jc w:val="center"/>
        </w:trPr>
        <w:tc>
          <w:tcPr>
            <w:tcW w:w="1848" w:type="dxa"/>
            <w:vMerge/>
          </w:tcPr>
          <w:p w:rsidR="00B55F84" w:rsidRPr="00B55F84" w:rsidRDefault="00B55F84" w:rsidP="00B55F84"/>
        </w:tc>
        <w:tc>
          <w:tcPr>
            <w:tcW w:w="992" w:type="dxa"/>
            <w:vAlign w:val="center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293</w:t>
            </w:r>
          </w:p>
        </w:tc>
        <w:tc>
          <w:tcPr>
            <w:tcW w:w="1984" w:type="dxa"/>
            <w:vAlign w:val="center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0.83</w:t>
            </w:r>
          </w:p>
        </w:tc>
        <w:tc>
          <w:tcPr>
            <w:tcW w:w="1985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3.34</w:t>
            </w:r>
          </w:p>
        </w:tc>
        <w:tc>
          <w:tcPr>
            <w:tcW w:w="2276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1.49</w:t>
            </w:r>
          </w:p>
        </w:tc>
      </w:tr>
      <w:tr w:rsidR="00B55F84" w:rsidRPr="00B55F84" w:rsidTr="00DF1291">
        <w:trPr>
          <w:jc w:val="center"/>
        </w:trPr>
        <w:tc>
          <w:tcPr>
            <w:tcW w:w="1848" w:type="dxa"/>
            <w:vMerge/>
          </w:tcPr>
          <w:p w:rsidR="00B55F84" w:rsidRPr="00B55F84" w:rsidRDefault="00B55F84" w:rsidP="00B55F84"/>
        </w:tc>
        <w:tc>
          <w:tcPr>
            <w:tcW w:w="992" w:type="dxa"/>
            <w:vAlign w:val="center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298</w:t>
            </w:r>
          </w:p>
        </w:tc>
        <w:tc>
          <w:tcPr>
            <w:tcW w:w="1984" w:type="dxa"/>
            <w:vAlign w:val="center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1.00</w:t>
            </w:r>
          </w:p>
        </w:tc>
        <w:tc>
          <w:tcPr>
            <w:tcW w:w="1985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4.72</w:t>
            </w:r>
          </w:p>
        </w:tc>
        <w:tc>
          <w:tcPr>
            <w:tcW w:w="2276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1.83</w:t>
            </w:r>
          </w:p>
        </w:tc>
      </w:tr>
      <w:tr w:rsidR="00B55F84" w:rsidRPr="00B55F84" w:rsidTr="00DF1291">
        <w:trPr>
          <w:jc w:val="center"/>
        </w:trPr>
        <w:tc>
          <w:tcPr>
            <w:tcW w:w="1848" w:type="dxa"/>
          </w:tcPr>
          <w:p w:rsidR="00B55F84" w:rsidRPr="00B55F84" w:rsidRDefault="00B55F84" w:rsidP="00B55F84">
            <w:proofErr w:type="spellStart"/>
            <w:r w:rsidRPr="00B55F84">
              <w:t>Е</w:t>
            </w:r>
            <w:r w:rsidRPr="00B55F84">
              <w:rPr>
                <w:vertAlign w:val="subscript"/>
              </w:rPr>
              <w:t>акт</w:t>
            </w:r>
            <w:proofErr w:type="spellEnd"/>
            <w:r w:rsidRPr="00B55F84">
              <w:t>, кДж/моль</w:t>
            </w:r>
          </w:p>
        </w:tc>
        <w:tc>
          <w:tcPr>
            <w:tcW w:w="992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–</w:t>
            </w:r>
          </w:p>
        </w:tc>
        <w:tc>
          <w:tcPr>
            <w:tcW w:w="1984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38.7±4.5</w:t>
            </w:r>
          </w:p>
        </w:tc>
        <w:tc>
          <w:tcPr>
            <w:tcW w:w="1985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51.0±1.4</w:t>
            </w:r>
          </w:p>
        </w:tc>
        <w:tc>
          <w:tcPr>
            <w:tcW w:w="2276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52.8±8.2</w:t>
            </w:r>
          </w:p>
        </w:tc>
      </w:tr>
      <w:tr w:rsidR="00B55F84" w:rsidRPr="00B55F84" w:rsidTr="00DF1291">
        <w:trPr>
          <w:jc w:val="center"/>
        </w:trPr>
        <w:tc>
          <w:tcPr>
            <w:tcW w:w="1848" w:type="dxa"/>
          </w:tcPr>
          <w:p w:rsidR="00B55F84" w:rsidRPr="00B55F84" w:rsidRDefault="00B55F84" w:rsidP="00B55F84">
            <w:r w:rsidRPr="00B55F84">
              <w:t>Коэффициент Вант-Гоффа</w:t>
            </w:r>
          </w:p>
        </w:tc>
        <w:tc>
          <w:tcPr>
            <w:tcW w:w="992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–</w:t>
            </w:r>
          </w:p>
        </w:tc>
        <w:tc>
          <w:tcPr>
            <w:tcW w:w="1984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1.8</w:t>
            </w:r>
          </w:p>
        </w:tc>
        <w:tc>
          <w:tcPr>
            <w:tcW w:w="1985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2.1</w:t>
            </w:r>
          </w:p>
        </w:tc>
        <w:tc>
          <w:tcPr>
            <w:tcW w:w="2276" w:type="dxa"/>
          </w:tcPr>
          <w:p w:rsidR="00B55F84" w:rsidRPr="00B55F84" w:rsidRDefault="00B55F84" w:rsidP="00B55F84">
            <w:pPr>
              <w:ind w:left="34"/>
              <w:jc w:val="center"/>
            </w:pPr>
            <w:r w:rsidRPr="00B55F84">
              <w:t>2.5</w:t>
            </w:r>
          </w:p>
        </w:tc>
      </w:tr>
    </w:tbl>
    <w:p w:rsidR="00B55F84" w:rsidRPr="00B55F84" w:rsidRDefault="00B55F84" w:rsidP="00B55F84">
      <w:pPr>
        <w:ind w:firstLine="397"/>
        <w:jc w:val="both"/>
      </w:pPr>
      <w:r w:rsidRPr="00B55F84">
        <w:t>Видно, что энергия активации разложения гидрата фреона в составе органических матриц выше таковой вне матриц, что обусловлено либо армирующим влиянием органической фазы, либо с особенностями морфометрических характеристик гидратов. Таким образом, показано, что органическая матрица влияет как на кинетику разложения гидратов, так и на энергетику этого процесса.</w:t>
      </w:r>
    </w:p>
    <w:p w:rsidR="00B55F84" w:rsidRPr="00B55F84" w:rsidRDefault="00B55F84" w:rsidP="00B55F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b/>
          <w:color w:val="000000"/>
        </w:rPr>
      </w:pPr>
      <w:r w:rsidRPr="00B55F84">
        <w:rPr>
          <w:b/>
          <w:color w:val="000000"/>
        </w:rPr>
        <w:t>Литература</w:t>
      </w:r>
    </w:p>
    <w:p w:rsidR="00183A2A" w:rsidRPr="00B55F84" w:rsidRDefault="00B55F84" w:rsidP="00E0770C">
      <w:pPr>
        <w:jc w:val="both"/>
      </w:pPr>
      <w:r w:rsidRPr="00B55F84">
        <w:t>1. Бык, С.Ш. Газовые гидраты / С.Ш. Бык, Ю.Ф. Макогон, В.И. Фомина. – М.: Химия, 1980. – 296 с.</w:t>
      </w:r>
    </w:p>
    <w:sectPr w:rsidR="00183A2A" w:rsidRPr="00B55F84" w:rsidSect="00766B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7538"/>
    <w:multiLevelType w:val="hybridMultilevel"/>
    <w:tmpl w:val="74C2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2DA6"/>
    <w:multiLevelType w:val="hybridMultilevel"/>
    <w:tmpl w:val="5E5E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80C8C"/>
    <w:rsid w:val="00086081"/>
    <w:rsid w:val="00101A1C"/>
    <w:rsid w:val="00103657"/>
    <w:rsid w:val="00106375"/>
    <w:rsid w:val="00116478"/>
    <w:rsid w:val="00130241"/>
    <w:rsid w:val="00183A2A"/>
    <w:rsid w:val="001E61C2"/>
    <w:rsid w:val="001F0493"/>
    <w:rsid w:val="002264EE"/>
    <w:rsid w:val="0023307C"/>
    <w:rsid w:val="00256EEC"/>
    <w:rsid w:val="0031361E"/>
    <w:rsid w:val="0033761E"/>
    <w:rsid w:val="00391C38"/>
    <w:rsid w:val="003B76D6"/>
    <w:rsid w:val="004A26A3"/>
    <w:rsid w:val="004F0EDF"/>
    <w:rsid w:val="00522BF1"/>
    <w:rsid w:val="00547649"/>
    <w:rsid w:val="00590166"/>
    <w:rsid w:val="005D022B"/>
    <w:rsid w:val="005E5BE9"/>
    <w:rsid w:val="0069427D"/>
    <w:rsid w:val="006F7A19"/>
    <w:rsid w:val="007213E1"/>
    <w:rsid w:val="00766B92"/>
    <w:rsid w:val="00775389"/>
    <w:rsid w:val="00797838"/>
    <w:rsid w:val="007B795E"/>
    <w:rsid w:val="007C36D8"/>
    <w:rsid w:val="007F2744"/>
    <w:rsid w:val="008914FF"/>
    <w:rsid w:val="008931BE"/>
    <w:rsid w:val="008C67E3"/>
    <w:rsid w:val="00921D45"/>
    <w:rsid w:val="0094493A"/>
    <w:rsid w:val="009A66DB"/>
    <w:rsid w:val="009B2F80"/>
    <w:rsid w:val="009B3300"/>
    <w:rsid w:val="009F3380"/>
    <w:rsid w:val="00A02163"/>
    <w:rsid w:val="00A314FE"/>
    <w:rsid w:val="00B55F84"/>
    <w:rsid w:val="00BF36F8"/>
    <w:rsid w:val="00BF4622"/>
    <w:rsid w:val="00CD00B1"/>
    <w:rsid w:val="00D22306"/>
    <w:rsid w:val="00D42542"/>
    <w:rsid w:val="00D8121C"/>
    <w:rsid w:val="00E0770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66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66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66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66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66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66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66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66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66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83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3A2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83A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39"/>
    <w:rsid w:val="00B5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DC6540-C24E-4ACC-B3C3-6FFDEBDC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Serpent</dc:creator>
  <cp:lastModifiedBy>Maria</cp:lastModifiedBy>
  <cp:revision>5</cp:revision>
  <dcterms:created xsi:type="dcterms:W3CDTF">2024-02-15T08:08:00Z</dcterms:created>
  <dcterms:modified xsi:type="dcterms:W3CDTF">2024-04-19T12:14:00Z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