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3A81" w:rsidRDefault="00FD1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Разработка методов получения гибридных систем на основе оксида графена и </w:t>
      </w:r>
      <w:proofErr w:type="spellStart"/>
      <w:r>
        <w:rPr>
          <w:b/>
          <w:color w:val="000000"/>
        </w:rPr>
        <w:t>фталоцианината</w:t>
      </w:r>
      <w:proofErr w:type="spellEnd"/>
      <w:r>
        <w:rPr>
          <w:b/>
          <w:color w:val="000000"/>
        </w:rPr>
        <w:t xml:space="preserve"> цинка</w:t>
      </w:r>
    </w:p>
    <w:p w14:paraId="00000002" w14:textId="77777777" w:rsidR="00553A81" w:rsidRDefault="00FD1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Горшкова А.И.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, Нугманова А.Г.</w:t>
      </w:r>
      <w:r>
        <w:rPr>
          <w:b/>
          <w:color w:val="000000"/>
          <w:vertAlign w:val="superscript"/>
        </w:rPr>
        <w:t xml:space="preserve"> 2</w:t>
      </w:r>
      <w:r>
        <w:rPr>
          <w:b/>
          <w:color w:val="000000"/>
        </w:rPr>
        <w:t>, Калинина М.А.</w:t>
      </w:r>
      <w:r>
        <w:rPr>
          <w:b/>
          <w:color w:val="000000"/>
          <w:vertAlign w:val="superscript"/>
        </w:rPr>
        <w:t xml:space="preserve"> 2</w:t>
      </w:r>
      <w:r>
        <w:rPr>
          <w:b/>
          <w:color w:val="000000"/>
        </w:rPr>
        <w:t xml:space="preserve"> </w:t>
      </w:r>
    </w:p>
    <w:p w14:paraId="00000003" w14:textId="77777777" w:rsidR="00553A81" w:rsidRDefault="00FD1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 xml:space="preserve">Студентка,5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4" w14:textId="77777777" w:rsidR="00553A81" w:rsidRDefault="00FD1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 фундаментальной физико-химической инженерии факультет, Москва, Россия</w:t>
      </w:r>
    </w:p>
    <w:p w14:paraId="00000005" w14:textId="77777777" w:rsidR="00553A81" w:rsidRDefault="00FD1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ИФХЭ РАН, Россия 119071, г. Москва, Ленинский проспект, д.31, корп. 4; </w:t>
      </w:r>
    </w:p>
    <w:p w14:paraId="00000006" w14:textId="77777777" w:rsidR="00553A81" w:rsidRDefault="00FD1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 anhen.gor@mail.ru</w:t>
      </w:r>
    </w:p>
    <w:p w14:paraId="00000007" w14:textId="474951CB" w:rsidR="00553A81" w:rsidRDefault="00FD1A66" w:rsidP="002D6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397"/>
        <w:jc w:val="both"/>
        <w:outlineLvl w:val="9"/>
        <w:rPr>
          <w:color w:val="000000"/>
        </w:rPr>
      </w:pPr>
      <w:bookmarkStart w:id="0" w:name="_heading=h.2s8eyo1" w:colFirst="0" w:colLast="0"/>
      <w:bookmarkEnd w:id="0"/>
      <w:r>
        <w:rPr>
          <w:color w:val="000000"/>
        </w:rPr>
        <w:t xml:space="preserve">Разработка новых </w:t>
      </w:r>
      <w:r>
        <w:rPr>
          <w:color w:val="000000"/>
        </w:rPr>
        <w:t>материалов</w:t>
      </w:r>
      <w:r w:rsidR="000D7240">
        <w:rPr>
          <w:color w:val="000000"/>
        </w:rPr>
        <w:t xml:space="preserve"> для гетерогенного фотокатализа</w:t>
      </w:r>
      <w:r w:rsidR="009256FB">
        <w:rPr>
          <w:color w:val="000000"/>
        </w:rPr>
        <w:t>,</w:t>
      </w:r>
      <w:r>
        <w:rPr>
          <w:color w:val="000000"/>
        </w:rPr>
        <w:t xml:space="preserve"> как</w:t>
      </w:r>
      <w:r w:rsidR="009256FB">
        <w:rPr>
          <w:color w:val="000000"/>
        </w:rPr>
        <w:t xml:space="preserve"> альтернативного направления для снижения антропогенной нагрузки на окружающую среду и отрывающего новые возможности для </w:t>
      </w:r>
      <w:r w:rsidR="009256FB">
        <w:rPr>
          <w:color w:val="000000"/>
        </w:rPr>
        <w:t>химической</w:t>
      </w:r>
      <w:r w:rsidR="009256FB">
        <w:rPr>
          <w:color w:val="000000"/>
        </w:rPr>
        <w:t xml:space="preserve"> </w:t>
      </w:r>
      <w:r>
        <w:rPr>
          <w:color w:val="000000"/>
        </w:rPr>
        <w:t>технологии</w:t>
      </w:r>
      <w:r w:rsidR="009256FB">
        <w:rPr>
          <w:color w:val="000000"/>
        </w:rPr>
        <w:t xml:space="preserve"> (конверсия СО</w:t>
      </w:r>
      <w:r w:rsidR="009256FB" w:rsidRPr="009256FB">
        <w:rPr>
          <w:color w:val="000000"/>
          <w:vertAlign w:val="subscript"/>
        </w:rPr>
        <w:t>2</w:t>
      </w:r>
      <w:r w:rsidR="009256FB">
        <w:rPr>
          <w:color w:val="000000"/>
        </w:rPr>
        <w:t>, генерация Н</w:t>
      </w:r>
      <w:r w:rsidR="009256FB" w:rsidRPr="00FD1A66">
        <w:rPr>
          <w:color w:val="000000"/>
          <w:vertAlign w:val="subscript"/>
        </w:rPr>
        <w:t>2</w:t>
      </w:r>
      <w:r w:rsidR="009256FB">
        <w:rPr>
          <w:color w:val="000000"/>
        </w:rPr>
        <w:t>, очистка сточных вод</w:t>
      </w:r>
      <w:r>
        <w:rPr>
          <w:color w:val="000000"/>
        </w:rPr>
        <w:t xml:space="preserve"> и др.</w:t>
      </w:r>
      <w:r w:rsidR="009256FB"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>является приоритетной</w:t>
      </w:r>
      <w:r w:rsidR="009256FB">
        <w:rPr>
          <w:color w:val="000000"/>
        </w:rPr>
        <w:t xml:space="preserve"> междисциплинарной</w:t>
      </w:r>
      <w:r>
        <w:rPr>
          <w:color w:val="000000"/>
        </w:rPr>
        <w:t xml:space="preserve"> задачей </w:t>
      </w:r>
      <w:r w:rsidR="009256FB">
        <w:rPr>
          <w:color w:val="000000"/>
        </w:rPr>
        <w:t>на стыке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 w:rsidR="009256FB">
        <w:rPr>
          <w:color w:val="000000"/>
        </w:rPr>
        <w:t>, коллоидной, супрамолекулярной</w:t>
      </w:r>
      <w:r>
        <w:rPr>
          <w:color w:val="000000"/>
        </w:rPr>
        <w:t xml:space="preserve"> химии, материаловедения и нанотехнологии.</w:t>
      </w:r>
    </w:p>
    <w:p w14:paraId="00000008" w14:textId="62D3AA91" w:rsidR="00553A81" w:rsidRDefault="00FD1A66" w:rsidP="002D6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397"/>
        <w:jc w:val="both"/>
        <w:outlineLvl w:val="9"/>
        <w:rPr>
          <w:color w:val="000000"/>
        </w:rPr>
      </w:pPr>
      <w:r>
        <w:rPr>
          <w:color w:val="000000"/>
        </w:rPr>
        <w:t>Одним</w:t>
      </w:r>
      <w:r>
        <w:rPr>
          <w:color w:val="000000"/>
        </w:rPr>
        <w:t>и из наиболее перспективных материалов для фотокатализа являются гибридные материалы,</w:t>
      </w:r>
      <w:r w:rsidR="00307C3E">
        <w:rPr>
          <w:color w:val="000000"/>
        </w:rPr>
        <w:t xml:space="preserve"> </w:t>
      </w:r>
      <w:r>
        <w:rPr>
          <w:color w:val="000000"/>
        </w:rPr>
        <w:t>которы</w:t>
      </w:r>
      <w:r w:rsidR="00941E0F">
        <w:rPr>
          <w:color w:val="000000"/>
        </w:rPr>
        <w:t>е сочетают в себе</w:t>
      </w:r>
      <w:r>
        <w:rPr>
          <w:color w:val="000000"/>
        </w:rPr>
        <w:t xml:space="preserve"> органическ</w:t>
      </w:r>
      <w:r w:rsidR="00941E0F">
        <w:rPr>
          <w:color w:val="000000"/>
        </w:rPr>
        <w:t>ие и неорганические</w:t>
      </w:r>
      <w:r>
        <w:rPr>
          <w:color w:val="000000"/>
        </w:rPr>
        <w:t xml:space="preserve"> компонент</w:t>
      </w:r>
      <w:r w:rsidR="00941E0F">
        <w:rPr>
          <w:color w:val="000000"/>
        </w:rPr>
        <w:t>ы таким образом, чтобы обеспечить синергию свойств.</w:t>
      </w:r>
      <w:r>
        <w:rPr>
          <w:color w:val="000000"/>
        </w:rPr>
        <w:t xml:space="preserve"> </w:t>
      </w:r>
      <w:r w:rsidR="00946492">
        <w:rPr>
          <w:color w:val="000000"/>
        </w:rPr>
        <w:t xml:space="preserve">В </w:t>
      </w:r>
      <w:r w:rsidR="00941E0F">
        <w:rPr>
          <w:color w:val="000000"/>
        </w:rPr>
        <w:t xml:space="preserve">качестве органического компонента </w:t>
      </w:r>
      <w:r w:rsidR="00946492">
        <w:rPr>
          <w:color w:val="000000"/>
        </w:rPr>
        <w:t xml:space="preserve">могут </w:t>
      </w:r>
      <w:r w:rsidR="00941E0F">
        <w:rPr>
          <w:color w:val="000000"/>
        </w:rPr>
        <w:t>использ</w:t>
      </w:r>
      <w:r w:rsidR="00946492">
        <w:rPr>
          <w:color w:val="000000"/>
        </w:rPr>
        <w:t>ова</w:t>
      </w:r>
      <w:r w:rsidR="00941E0F">
        <w:rPr>
          <w:color w:val="000000"/>
        </w:rPr>
        <w:t>т</w:t>
      </w:r>
      <w:r w:rsidR="00946492">
        <w:rPr>
          <w:color w:val="000000"/>
        </w:rPr>
        <w:t>ь</w:t>
      </w:r>
      <w:r w:rsidR="00941E0F">
        <w:rPr>
          <w:color w:val="000000"/>
        </w:rPr>
        <w:t xml:space="preserve">ся </w:t>
      </w:r>
      <w:r w:rsidR="00946492">
        <w:rPr>
          <w:color w:val="000000"/>
        </w:rPr>
        <w:t>макроциклические хромофоры</w:t>
      </w:r>
      <w:r w:rsidR="00941E0F">
        <w:rPr>
          <w:color w:val="000000"/>
        </w:rPr>
        <w:t xml:space="preserve">, </w:t>
      </w:r>
      <w:r w:rsidR="001D117A">
        <w:rPr>
          <w:color w:val="000000"/>
        </w:rPr>
        <w:t>например,</w:t>
      </w:r>
      <w:r w:rsidR="00941E0F">
        <w:rPr>
          <w:color w:val="000000"/>
        </w:rPr>
        <w:t xml:space="preserve"> </w:t>
      </w:r>
      <w:r>
        <w:rPr>
          <w:color w:val="000000"/>
        </w:rPr>
        <w:t xml:space="preserve">фталоцианины, </w:t>
      </w:r>
      <w:r w:rsidR="00941E0F">
        <w:rPr>
          <w:color w:val="000000"/>
        </w:rPr>
        <w:t>которые обладают</w:t>
      </w:r>
      <w:r>
        <w:rPr>
          <w:color w:val="000000"/>
        </w:rPr>
        <w:t xml:space="preserve"> высок</w:t>
      </w:r>
      <w:r w:rsidR="00941E0F">
        <w:rPr>
          <w:color w:val="000000"/>
        </w:rPr>
        <w:t>ой</w:t>
      </w:r>
      <w:r>
        <w:rPr>
          <w:color w:val="000000"/>
        </w:rPr>
        <w:t xml:space="preserve"> степень</w:t>
      </w:r>
      <w:r w:rsidR="00941E0F">
        <w:rPr>
          <w:color w:val="000000"/>
        </w:rPr>
        <w:t>ю</w:t>
      </w:r>
      <w:r>
        <w:rPr>
          <w:color w:val="000000"/>
        </w:rPr>
        <w:t xml:space="preserve"> экстинкции</w:t>
      </w:r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941E0F">
        <w:rPr>
          <w:color w:val="000000"/>
        </w:rPr>
        <w:t xml:space="preserve">собственной </w:t>
      </w:r>
      <w:r>
        <w:rPr>
          <w:color w:val="000000"/>
        </w:rPr>
        <w:t>фотокаталитическ</w:t>
      </w:r>
      <w:r w:rsidR="00941E0F">
        <w:rPr>
          <w:color w:val="000000"/>
        </w:rPr>
        <w:t>ой</w:t>
      </w:r>
      <w:r>
        <w:rPr>
          <w:color w:val="000000"/>
        </w:rPr>
        <w:t xml:space="preserve"> активность</w:t>
      </w:r>
      <w:r w:rsidR="00941E0F">
        <w:rPr>
          <w:color w:val="000000"/>
        </w:rPr>
        <w:t>ю</w:t>
      </w:r>
      <w:r>
        <w:rPr>
          <w:color w:val="000000"/>
        </w:rPr>
        <w:t xml:space="preserve">. </w:t>
      </w:r>
      <w:r w:rsidR="0026536A">
        <w:rPr>
          <w:color w:val="000000"/>
        </w:rPr>
        <w:t>В качестве неорганического компонента может быть использован о</w:t>
      </w:r>
      <w:r>
        <w:rPr>
          <w:color w:val="000000"/>
        </w:rPr>
        <w:t>ксид графена</w:t>
      </w:r>
      <w:r w:rsidR="0026536A">
        <w:rPr>
          <w:color w:val="000000"/>
        </w:rPr>
        <w:t xml:space="preserve">: </w:t>
      </w:r>
      <w:r>
        <w:rPr>
          <w:color w:val="000000"/>
        </w:rPr>
        <w:t>на</w:t>
      </w:r>
      <w:r w:rsidR="0026536A">
        <w:rPr>
          <w:color w:val="000000"/>
        </w:rPr>
        <w:t>личие кислородсодержащих групп</w:t>
      </w:r>
      <w:r>
        <w:rPr>
          <w:color w:val="000000"/>
        </w:rPr>
        <w:t xml:space="preserve"> и планарная геометрия способствуют интеграции с орган</w:t>
      </w:r>
      <w:r>
        <w:rPr>
          <w:color w:val="000000"/>
        </w:rPr>
        <w:t xml:space="preserve">ическим компонентом </w:t>
      </w:r>
      <w:r w:rsidR="001D117A">
        <w:rPr>
          <w:color w:val="000000"/>
        </w:rPr>
        <w:t>без необходимости предварительной модификации</w:t>
      </w:r>
      <w:r>
        <w:rPr>
          <w:color w:val="000000"/>
        </w:rPr>
        <w:t xml:space="preserve">, а оптическая прозрачность и низкий уровень Ферми обеспечат высокую фотокаталитическую активность </w:t>
      </w:r>
      <w:r w:rsidR="001D117A">
        <w:rPr>
          <w:color w:val="000000"/>
        </w:rPr>
        <w:t xml:space="preserve">гибридного </w:t>
      </w:r>
      <w:r>
        <w:rPr>
          <w:color w:val="000000"/>
        </w:rPr>
        <w:t>материала</w:t>
      </w:r>
      <w:r w:rsidR="001D117A">
        <w:rPr>
          <w:color w:val="000000"/>
        </w:rPr>
        <w:t xml:space="preserve"> в целом</w:t>
      </w:r>
      <w:r>
        <w:rPr>
          <w:color w:val="000000"/>
        </w:rPr>
        <w:t>.</w:t>
      </w:r>
    </w:p>
    <w:p w14:paraId="00000009" w14:textId="1262E07F" w:rsidR="00553A81" w:rsidRDefault="0026536A" w:rsidP="002D6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397"/>
        <w:jc w:val="both"/>
        <w:outlineLvl w:val="9"/>
        <w:rPr>
          <w:color w:val="000000"/>
        </w:rPr>
      </w:pPr>
      <w:bookmarkStart w:id="1" w:name="_heading=h.ge4vw54a1jzz" w:colFirst="0" w:colLast="0"/>
      <w:bookmarkEnd w:id="1"/>
      <w:r>
        <w:rPr>
          <w:color w:val="000000"/>
        </w:rPr>
        <w:t xml:space="preserve">Оксид графена был синтезирован по модифицированному методу Хаммерса. </w:t>
      </w:r>
      <w:r w:rsidR="00FD1A66">
        <w:rPr>
          <w:color w:val="000000"/>
        </w:rPr>
        <w:t xml:space="preserve">В качестве </w:t>
      </w:r>
      <w:proofErr w:type="spellStart"/>
      <w:r w:rsidR="00FD1A66">
        <w:rPr>
          <w:color w:val="000000"/>
        </w:rPr>
        <w:t>фотоактивного</w:t>
      </w:r>
      <w:proofErr w:type="spellEnd"/>
      <w:r w:rsidR="00FD1A66">
        <w:rPr>
          <w:color w:val="000000"/>
        </w:rPr>
        <w:t xml:space="preserve"> компонента был выбран</w:t>
      </w:r>
      <w:r w:rsidR="001D117A">
        <w:rPr>
          <w:color w:val="000000"/>
        </w:rPr>
        <w:t xml:space="preserve"> водорастворимый </w:t>
      </w:r>
      <w:r w:rsidR="00FD1A66">
        <w:rPr>
          <w:color w:val="000000"/>
        </w:rPr>
        <w:t>цинковый комплекс 2,3,9,10,16,17,23,24-</w:t>
      </w:r>
      <w:proofErr w:type="gramStart"/>
      <w:r w:rsidR="00FD1A66">
        <w:rPr>
          <w:color w:val="000000"/>
        </w:rPr>
        <w:t>окта[</w:t>
      </w:r>
      <w:proofErr w:type="gramEnd"/>
      <w:r w:rsidR="00FD1A66">
        <w:rPr>
          <w:color w:val="000000"/>
        </w:rPr>
        <w:t>(3,5-биска</w:t>
      </w:r>
      <w:r w:rsidR="00FD1A66">
        <w:rPr>
          <w:color w:val="000000"/>
        </w:rPr>
        <w:t xml:space="preserve">рбоксилат натрия) </w:t>
      </w:r>
      <w:proofErr w:type="spellStart"/>
      <w:r w:rsidR="00FD1A66">
        <w:rPr>
          <w:color w:val="000000"/>
        </w:rPr>
        <w:t>фенокси</w:t>
      </w:r>
      <w:proofErr w:type="spellEnd"/>
      <w:r w:rsidR="00FD1A66">
        <w:rPr>
          <w:color w:val="000000"/>
        </w:rPr>
        <w:t xml:space="preserve">] </w:t>
      </w:r>
      <w:proofErr w:type="spellStart"/>
      <w:r w:rsidR="00FD1A66">
        <w:rPr>
          <w:color w:val="000000"/>
        </w:rPr>
        <w:t>фталоцианината</w:t>
      </w:r>
      <w:proofErr w:type="spellEnd"/>
      <w:r w:rsidR="00FD1A66">
        <w:rPr>
          <w:color w:val="000000"/>
        </w:rPr>
        <w:t xml:space="preserve"> (ZnPc</w:t>
      </w:r>
      <w:r w:rsidR="00FD1A66">
        <w:rPr>
          <w:color w:val="000000"/>
          <w:vertAlign w:val="subscript"/>
        </w:rPr>
        <w:t>16</w:t>
      </w:r>
      <w:r w:rsidR="00FD1A66">
        <w:rPr>
          <w:color w:val="000000"/>
        </w:rPr>
        <w:t xml:space="preserve">), обладающий </w:t>
      </w:r>
      <w:r w:rsidR="00FD1A66">
        <w:rPr>
          <w:color w:val="000000"/>
        </w:rPr>
        <w:t>способностью к генерации синглетного кислорода [</w:t>
      </w:r>
      <w:r w:rsidR="00307C3E">
        <w:rPr>
          <w:color w:val="000000"/>
        </w:rPr>
        <w:t>1</w:t>
      </w:r>
      <w:r w:rsidR="00FD1A66">
        <w:rPr>
          <w:color w:val="000000"/>
        </w:rPr>
        <w:t>].  Синтез гибридных систем на основе ОГ и ZnPc</w:t>
      </w:r>
      <w:r w:rsidR="00FD1A66">
        <w:rPr>
          <w:color w:val="000000"/>
          <w:vertAlign w:val="subscript"/>
        </w:rPr>
        <w:t>16</w:t>
      </w:r>
      <w:r w:rsidR="00FD1A66">
        <w:rPr>
          <w:color w:val="000000"/>
        </w:rPr>
        <w:t xml:space="preserve"> осуществлялся с помощью гидротермального синтеза двумя способами: за счет прямой интеграции и координационных взаимодействий с использованием связующего металлокластера – ацетата цинка (</w:t>
      </w:r>
      <w:proofErr w:type="spellStart"/>
      <w:r w:rsidR="00FD1A66">
        <w:rPr>
          <w:color w:val="000000"/>
        </w:rPr>
        <w:t>Zn</w:t>
      </w:r>
      <w:proofErr w:type="spellEnd"/>
      <w:r w:rsidR="00FD1A66">
        <w:rPr>
          <w:color w:val="000000"/>
        </w:rPr>
        <w:t>(</w:t>
      </w:r>
      <w:proofErr w:type="spellStart"/>
      <w:r w:rsidR="00FD1A66">
        <w:rPr>
          <w:color w:val="000000"/>
        </w:rPr>
        <w:t>OAc</w:t>
      </w:r>
      <w:proofErr w:type="spellEnd"/>
      <w:r w:rsidR="00FD1A66">
        <w:rPr>
          <w:color w:val="000000"/>
        </w:rPr>
        <w:t>)</w:t>
      </w:r>
      <w:r w:rsidR="00FD1A66">
        <w:rPr>
          <w:color w:val="000000"/>
          <w:vertAlign w:val="subscript"/>
        </w:rPr>
        <w:t>2</w:t>
      </w:r>
      <w:r w:rsidR="00FD1A66">
        <w:rPr>
          <w:color w:val="000000"/>
        </w:rPr>
        <w:t>)</w:t>
      </w:r>
      <w:r w:rsidR="002D652D" w:rsidRPr="002D652D">
        <w:rPr>
          <w:color w:val="000000"/>
        </w:rPr>
        <w:t xml:space="preserve"> [2]</w:t>
      </w:r>
      <w:r w:rsidR="00FD1A66">
        <w:rPr>
          <w:color w:val="000000"/>
        </w:rPr>
        <w:t>.</w:t>
      </w:r>
    </w:p>
    <w:p w14:paraId="0000000A" w14:textId="49D651E4" w:rsidR="00553A81" w:rsidRDefault="00FD1A66" w:rsidP="002D6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397"/>
        <w:jc w:val="both"/>
        <w:outlineLvl w:val="9"/>
        <w:rPr>
          <w:color w:val="000000"/>
        </w:rPr>
      </w:pPr>
      <w:bookmarkStart w:id="2" w:name="_heading=h.30j0zll" w:colFirst="0" w:colLast="0"/>
      <w:bookmarkEnd w:id="2"/>
      <w:r>
        <w:t>С помощью различных физико-химических методов анализа (СЭМ</w:t>
      </w:r>
      <w:r>
        <w:t>, флуоресцентная микроскопия, ПРД и др.) была подтверждена успешная интеграция ZnPc</w:t>
      </w:r>
      <w:r>
        <w:rPr>
          <w:vertAlign w:val="subscript"/>
        </w:rPr>
        <w:t xml:space="preserve">16 </w:t>
      </w:r>
      <w:r>
        <w:t xml:space="preserve">с </w:t>
      </w:r>
      <w:proofErr w:type="spellStart"/>
      <w:r>
        <w:t>нанолистами</w:t>
      </w:r>
      <w:proofErr w:type="spellEnd"/>
      <w:r>
        <w:t xml:space="preserve"> ОГ и изучены морфология и структура полученных гибридных материалов</w:t>
      </w:r>
      <w:r>
        <w:rPr>
          <w:color w:val="000000"/>
        </w:rPr>
        <w:t>. Согласно данным УФ-видимой спектрофотометрии установлено, что системы, полученные прямо</w:t>
      </w:r>
      <w:r>
        <w:rPr>
          <w:color w:val="000000"/>
        </w:rPr>
        <w:t>й интеграцией ZnPc</w:t>
      </w:r>
      <w:r>
        <w:rPr>
          <w:color w:val="000000"/>
          <w:vertAlign w:val="subscript"/>
        </w:rPr>
        <w:t>16</w:t>
      </w:r>
      <w:r>
        <w:rPr>
          <w:color w:val="000000"/>
        </w:rPr>
        <w:t xml:space="preserve"> в неорганическую матрицу не устойчивы и не проявляют фотокаталитическую активность. В то время как, гибридный материал, полученный за счет координационных связей между компонентами с использованием </w:t>
      </w:r>
      <w:proofErr w:type="spellStart"/>
      <w:r>
        <w:rPr>
          <w:color w:val="000000"/>
        </w:rPr>
        <w:t>Zn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OAc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, способен проявлять фотоката</w:t>
      </w:r>
      <w:r>
        <w:rPr>
          <w:color w:val="000000"/>
        </w:rPr>
        <w:t xml:space="preserve">литическую активность в реакциях окислительной фотодеградации </w:t>
      </w:r>
      <w:r>
        <w:rPr>
          <w:color w:val="000000"/>
        </w:rPr>
        <w:t>родамина</w:t>
      </w:r>
      <w:r>
        <w:rPr>
          <w:color w:val="000000"/>
        </w:rPr>
        <w:t xml:space="preserve"> 6G, 1,5-дигидроксинафталина и</w:t>
      </w:r>
      <w:r>
        <w:rPr>
          <w:color w:val="000000"/>
        </w:rPr>
        <w:t xml:space="preserve"> 1,4-нитрофенола</w:t>
      </w:r>
      <w:r>
        <w:rPr>
          <w:color w:val="000000"/>
        </w:rPr>
        <w:t xml:space="preserve">. </w:t>
      </w:r>
    </w:p>
    <w:p w14:paraId="0000000B" w14:textId="77777777" w:rsidR="00553A81" w:rsidRDefault="00FD1A66" w:rsidP="002D6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397"/>
        <w:jc w:val="both"/>
        <w:outlineLvl w:val="9"/>
        <w:rPr>
          <w:color w:val="000000"/>
        </w:rPr>
      </w:pPr>
      <w:r>
        <w:rPr>
          <w:color w:val="000000"/>
        </w:rPr>
        <w:t>Полученные результаты показали, что метод нековалентной сборки гибридного материала с использованием мета</w:t>
      </w:r>
      <w:r>
        <w:rPr>
          <w:color w:val="000000"/>
        </w:rPr>
        <w:t>ллокластера в качестве связующего компонента позволяет получить более стабильные и эффективные фотокатализаторы.</w:t>
      </w:r>
      <w:bookmarkStart w:id="3" w:name="_GoBack"/>
      <w:bookmarkEnd w:id="3"/>
    </w:p>
    <w:p w14:paraId="0000000C" w14:textId="77777777" w:rsidR="00553A81" w:rsidRPr="008B48A0" w:rsidRDefault="00FD1A66" w:rsidP="002D6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397"/>
        <w:jc w:val="both"/>
        <w:outlineLvl w:val="9"/>
        <w:rPr>
          <w:i/>
          <w:color w:val="000000"/>
        </w:rPr>
      </w:pPr>
      <w:r>
        <w:rPr>
          <w:color w:val="000000"/>
        </w:rPr>
        <w:tab/>
      </w:r>
      <w:r w:rsidRPr="008B48A0">
        <w:rPr>
          <w:i/>
          <w:color w:val="000000"/>
        </w:rPr>
        <w:t>Работа выполнена при финансовой поддержке Российского научного фонда, проект № 23-73-00095.</w:t>
      </w:r>
    </w:p>
    <w:p w14:paraId="0000000D" w14:textId="77777777" w:rsidR="00553A81" w:rsidRDefault="00FD1A66" w:rsidP="002D6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397"/>
        <w:jc w:val="both"/>
        <w:outlineLvl w:val="9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5BDEC09F" w14:textId="06CBCE9B" w:rsidR="002D652D" w:rsidRPr="002D652D" w:rsidRDefault="00FD1A66" w:rsidP="002D652D">
      <w:pPr>
        <w:numPr>
          <w:ilvl w:val="0"/>
          <w:numId w:val="1"/>
        </w:numPr>
        <w:spacing w:line="240" w:lineRule="auto"/>
        <w:ind w:leftChars="0" w:left="0" w:firstLineChars="0" w:firstLine="397"/>
        <w:jc w:val="both"/>
        <w:outlineLvl w:val="9"/>
        <w:rPr>
          <w:lang w:val="en-US"/>
        </w:rPr>
      </w:pPr>
      <w:r w:rsidRPr="002D652D">
        <w:rPr>
          <w:lang w:val="en-US"/>
        </w:rPr>
        <w:t xml:space="preserve">Liu W., Jensen T.J., </w:t>
      </w:r>
      <w:proofErr w:type="spellStart"/>
      <w:r w:rsidRPr="002D652D">
        <w:rPr>
          <w:lang w:val="en-US"/>
        </w:rPr>
        <w:t>Fronczek</w:t>
      </w:r>
      <w:proofErr w:type="spellEnd"/>
      <w:r w:rsidRPr="002D652D">
        <w:rPr>
          <w:lang w:val="en-US"/>
        </w:rPr>
        <w:t xml:space="preserve"> F.R.</w:t>
      </w:r>
      <w:r w:rsidR="00941E0F">
        <w:rPr>
          <w:lang w:val="en-US"/>
        </w:rPr>
        <w:t>,</w:t>
      </w:r>
      <w:r w:rsidRPr="002D652D">
        <w:rPr>
          <w:lang w:val="en-US"/>
        </w:rPr>
        <w:t xml:space="preserve"> et al. Synthesis and cellular studies of </w:t>
      </w:r>
      <w:proofErr w:type="spellStart"/>
      <w:r w:rsidRPr="002D652D">
        <w:rPr>
          <w:lang w:val="en-US"/>
        </w:rPr>
        <w:t>nonaggregated</w:t>
      </w:r>
      <w:proofErr w:type="spellEnd"/>
      <w:r w:rsidRPr="002D652D">
        <w:rPr>
          <w:lang w:val="en-US"/>
        </w:rPr>
        <w:t xml:space="preserve"> water-soluble </w:t>
      </w:r>
      <w:proofErr w:type="spellStart"/>
      <w:r w:rsidRPr="002D652D">
        <w:rPr>
          <w:lang w:val="en-US"/>
        </w:rPr>
        <w:t>phtha</w:t>
      </w:r>
      <w:r w:rsidRPr="002D652D">
        <w:rPr>
          <w:lang w:val="en-US"/>
        </w:rPr>
        <w:t>locyanines</w:t>
      </w:r>
      <w:proofErr w:type="spellEnd"/>
      <w:r w:rsidRPr="002D652D">
        <w:rPr>
          <w:lang w:val="en-US"/>
        </w:rPr>
        <w:t xml:space="preserve"> // Journal of Medicinal Chemi</w:t>
      </w:r>
      <w:r w:rsidRPr="002D652D">
        <w:rPr>
          <w:lang w:val="en-US"/>
        </w:rPr>
        <w:t xml:space="preserve">stry. 2005. V. 48. No </w:t>
      </w:r>
      <w:proofErr w:type="gramStart"/>
      <w:r w:rsidRPr="002D652D">
        <w:rPr>
          <w:lang w:val="en-US"/>
        </w:rPr>
        <w:t>4</w:t>
      </w:r>
      <w:proofErr w:type="gramEnd"/>
      <w:r w:rsidRPr="002D652D">
        <w:rPr>
          <w:lang w:val="en-US"/>
        </w:rPr>
        <w:t xml:space="preserve">. P. 1033–1041. </w:t>
      </w:r>
      <w:hyperlink r:id="rId6" w:history="1">
        <w:r w:rsidR="002D652D" w:rsidRPr="00941E0F">
          <w:rPr>
            <w:rStyle w:val="a4"/>
            <w:lang w:val="en-US"/>
          </w:rPr>
          <w:t>https://doi.org/10.1021/jm049375b</w:t>
        </w:r>
      </w:hyperlink>
    </w:p>
    <w:p w14:paraId="139C114C" w14:textId="1893EAF6" w:rsidR="002D652D" w:rsidRDefault="002D652D" w:rsidP="001B1727">
      <w:pPr>
        <w:numPr>
          <w:ilvl w:val="0"/>
          <w:numId w:val="1"/>
        </w:numPr>
        <w:spacing w:line="240" w:lineRule="auto"/>
        <w:ind w:leftChars="0" w:left="0" w:firstLineChars="0" w:firstLine="397"/>
        <w:jc w:val="both"/>
        <w:outlineLvl w:val="9"/>
        <w:rPr>
          <w:lang w:val="en-US"/>
        </w:rPr>
      </w:pPr>
      <w:proofErr w:type="spellStart"/>
      <w:r w:rsidRPr="002D652D">
        <w:rPr>
          <w:lang w:val="en-US"/>
        </w:rPr>
        <w:t>Nugmanova</w:t>
      </w:r>
      <w:proofErr w:type="spellEnd"/>
      <w:r w:rsidRPr="002D652D">
        <w:rPr>
          <w:lang w:val="en-US"/>
        </w:rPr>
        <w:t xml:space="preserve">, A. G., </w:t>
      </w:r>
      <w:proofErr w:type="spellStart"/>
      <w:r w:rsidRPr="002D652D">
        <w:rPr>
          <w:lang w:val="en-US"/>
        </w:rPr>
        <w:t>Gorshkova</w:t>
      </w:r>
      <w:proofErr w:type="spellEnd"/>
      <w:r w:rsidRPr="002D652D">
        <w:rPr>
          <w:lang w:val="en-US"/>
        </w:rPr>
        <w:t xml:space="preserve">, A. I., </w:t>
      </w:r>
      <w:proofErr w:type="spellStart"/>
      <w:r w:rsidRPr="002D652D">
        <w:rPr>
          <w:lang w:val="en-US"/>
        </w:rPr>
        <w:t>Yagodin</w:t>
      </w:r>
      <w:proofErr w:type="spellEnd"/>
      <w:r w:rsidRPr="002D652D">
        <w:rPr>
          <w:lang w:val="en-US"/>
        </w:rPr>
        <w:t xml:space="preserve">, A. V., et.al. Noncovalent Stabilization of Water-Soluble Zinc </w:t>
      </w:r>
      <w:proofErr w:type="spellStart"/>
      <w:r w:rsidRPr="002D652D">
        <w:rPr>
          <w:lang w:val="en-US"/>
        </w:rPr>
        <w:t>Phthalocyaninate</w:t>
      </w:r>
      <w:proofErr w:type="spellEnd"/>
      <w:r w:rsidRPr="002D652D">
        <w:rPr>
          <w:lang w:val="en-US"/>
        </w:rPr>
        <w:t xml:space="preserve"> in Graphene Oxide Hydrosol // Colloid Journal.  2023. P. 1-14. </w:t>
      </w:r>
      <w:hyperlink r:id="rId7" w:history="1">
        <w:r w:rsidRPr="002D652D">
          <w:rPr>
            <w:rStyle w:val="a4"/>
            <w:lang w:val="en-US"/>
          </w:rPr>
          <w:t>https://doi.org/10.1134/S1061933X23600859</w:t>
        </w:r>
      </w:hyperlink>
    </w:p>
    <w:sectPr w:rsidR="002D652D" w:rsidSect="008B48A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644"/>
    <w:multiLevelType w:val="multilevel"/>
    <w:tmpl w:val="AFCE12A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81"/>
    <w:rsid w:val="000D7240"/>
    <w:rsid w:val="001D117A"/>
    <w:rsid w:val="0026536A"/>
    <w:rsid w:val="002D652D"/>
    <w:rsid w:val="00307C3E"/>
    <w:rsid w:val="00553A81"/>
    <w:rsid w:val="008B48A0"/>
    <w:rsid w:val="009256FB"/>
    <w:rsid w:val="00941E0F"/>
    <w:rsid w:val="00946492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26D5"/>
  <w15:docId w15:val="{D5B3BC97-F5C9-47A9-B992-668C94EE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134/S1061933X236008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21/jm04937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knlY4oLmFqx/iEwZpE7D85i5Q==">CgMxLjAyCWguMnM4ZXlvMTIOaC5nZTR2dzU0YTFqenoyCWguMzBqMHpsbDgAciExaTczWWN5MFE4anowVFpsWVh0dmJVYlZWWjdjTE5saW0=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Курмаз</dc:creator>
  <cp:lastModifiedBy>Алсу Нугманова</cp:lastModifiedBy>
  <cp:revision>3</cp:revision>
  <dcterms:created xsi:type="dcterms:W3CDTF">2024-02-15T05:58:00Z</dcterms:created>
  <dcterms:modified xsi:type="dcterms:W3CDTF">2024-02-15T14:30:00Z</dcterms:modified>
</cp:coreProperties>
</file>