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2AAB7A" w:rsidR="00130241" w:rsidRPr="00D12E46" w:rsidRDefault="00D12E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Использование ГКР-активных мембран для </w:t>
      </w:r>
      <w:r>
        <w:rPr>
          <w:b/>
          <w:color w:val="000000"/>
          <w:lang w:val="en-US"/>
        </w:rPr>
        <w:t>single</w:t>
      </w:r>
      <w:r w:rsidRPr="00D12E46">
        <w:rPr>
          <w:b/>
          <w:color w:val="000000"/>
        </w:rPr>
        <w:t>-</w:t>
      </w:r>
      <w:r>
        <w:rPr>
          <w:b/>
          <w:color w:val="000000"/>
          <w:lang w:val="en-US"/>
        </w:rPr>
        <w:t>cell</w:t>
      </w:r>
      <w:r w:rsidRPr="00D12E46">
        <w:rPr>
          <w:b/>
          <w:color w:val="000000"/>
        </w:rPr>
        <w:t xml:space="preserve"> анализа антиб</w:t>
      </w:r>
      <w:r>
        <w:rPr>
          <w:b/>
          <w:color w:val="000000"/>
        </w:rPr>
        <w:t xml:space="preserve">иотикорезистентности </w:t>
      </w:r>
    </w:p>
    <w:p w14:paraId="00000002" w14:textId="2C154739" w:rsidR="00130241" w:rsidRDefault="00D12E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Мушенков В.А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Завьялова Е.Г</w:t>
      </w:r>
      <w:r w:rsidR="009E2FF9" w:rsidRPr="005329E6">
        <w:rPr>
          <w:b/>
          <w:i/>
        </w:rPr>
        <w:t>.</w:t>
      </w:r>
      <w:r w:rsidR="00EB1F49" w:rsidRPr="00BF4622">
        <w:rPr>
          <w:b/>
          <w:color w:val="000000"/>
        </w:rPr>
        <w:t xml:space="preserve"> </w:t>
      </w:r>
    </w:p>
    <w:p w14:paraId="00000003" w14:textId="1967E43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12E46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4" w14:textId="745577A0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69A929C8" w14:textId="138732FB" w:rsidR="00F72F32" w:rsidRPr="00D01C31" w:rsidRDefault="00EB1F49" w:rsidP="00D01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E2717">
        <w:rPr>
          <w:i/>
          <w:color w:val="000000"/>
          <w:lang w:val="en-US"/>
        </w:rPr>
        <w:t>E</w:t>
      </w:r>
      <w:r w:rsidR="003B76D6" w:rsidRPr="00D01C31">
        <w:rPr>
          <w:i/>
          <w:color w:val="000000"/>
          <w:lang w:val="en-US"/>
        </w:rPr>
        <w:t>-</w:t>
      </w:r>
      <w:r w:rsidRPr="001E2717">
        <w:rPr>
          <w:i/>
          <w:color w:val="000000"/>
          <w:lang w:val="en-US"/>
        </w:rPr>
        <w:t>mail</w:t>
      </w:r>
      <w:r w:rsidRPr="00D01C31">
        <w:rPr>
          <w:i/>
          <w:color w:val="000000"/>
          <w:lang w:val="en-US"/>
        </w:rPr>
        <w:t xml:space="preserve">: </w:t>
      </w:r>
      <w:r w:rsidR="001E2717">
        <w:rPr>
          <w:i/>
          <w:color w:val="000000"/>
          <w:u w:val="single"/>
          <w:lang w:val="en-US"/>
        </w:rPr>
        <w:t>vladimir</w:t>
      </w:r>
      <w:r w:rsidR="001E2717" w:rsidRPr="00D01C31">
        <w:rPr>
          <w:i/>
          <w:color w:val="000000"/>
          <w:u w:val="single"/>
          <w:lang w:val="en-US"/>
        </w:rPr>
        <w:t>.</w:t>
      </w:r>
      <w:r w:rsidR="001E2717">
        <w:rPr>
          <w:i/>
          <w:color w:val="000000"/>
          <w:u w:val="single"/>
          <w:lang w:val="en-US"/>
        </w:rPr>
        <w:t>mushenkov</w:t>
      </w:r>
      <w:r w:rsidR="001E2717" w:rsidRPr="00D01C31">
        <w:rPr>
          <w:i/>
          <w:color w:val="000000"/>
          <w:u w:val="single"/>
          <w:lang w:val="en-US"/>
        </w:rPr>
        <w:t>@</w:t>
      </w:r>
      <w:r w:rsidR="001E2717">
        <w:rPr>
          <w:i/>
          <w:color w:val="000000"/>
          <w:u w:val="single"/>
          <w:lang w:val="en-US"/>
        </w:rPr>
        <w:t>mail</w:t>
      </w:r>
      <w:r w:rsidR="001E2717" w:rsidRPr="00D01C31">
        <w:rPr>
          <w:i/>
          <w:color w:val="000000"/>
          <w:u w:val="single"/>
          <w:lang w:val="en-US"/>
        </w:rPr>
        <w:t>.</w:t>
      </w:r>
      <w:r w:rsidR="001E2717">
        <w:rPr>
          <w:i/>
          <w:color w:val="000000"/>
          <w:u w:val="single"/>
          <w:lang w:val="en-US"/>
        </w:rPr>
        <w:t>ru</w:t>
      </w:r>
      <w:r w:rsidRPr="00D01C31">
        <w:rPr>
          <w:i/>
          <w:color w:val="000000"/>
          <w:lang w:val="en-US"/>
        </w:rPr>
        <w:t xml:space="preserve"> </w:t>
      </w:r>
    </w:p>
    <w:p w14:paraId="2A2B0245" w14:textId="44BB963C" w:rsidR="00C5433C" w:rsidRDefault="00A45BDC" w:rsidP="00C543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Устойчивые к антибиотикам патогены представляют собой одну из наиболее важных проблем современной медицины. </w:t>
      </w:r>
      <w:r w:rsidR="00770090">
        <w:rPr>
          <w:color w:val="000000"/>
        </w:rPr>
        <w:t>Растущие объемы</w:t>
      </w:r>
      <w:r>
        <w:rPr>
          <w:color w:val="000000"/>
        </w:rPr>
        <w:t xml:space="preserve"> использования антибиотиков во многих сферах деятельности приводят к появлению устойчивости у широкого спектра штаммов микроорганизмов</w:t>
      </w:r>
      <w:r w:rsidR="00770090">
        <w:rPr>
          <w:color w:val="000000"/>
        </w:rPr>
        <w:t xml:space="preserve"> и соответственно снижению эффективности применяемых препаратов. </w:t>
      </w:r>
      <w:r w:rsidR="00C5433C">
        <w:rPr>
          <w:color w:val="000000"/>
        </w:rPr>
        <w:t>Большой проблемой также является то, что новые классы антибиотиков открывать очень трудно: так, последний класс антибиотиков, пригодных для использования в медицине, был открыт в 1987 году, с тех пор на рынок не вышло ни одного нового класса препаратов. Развитие резистентности текущими темпами приведёт к тому, что устойчивые инфекции</w:t>
      </w:r>
      <w:r w:rsidR="00745515">
        <w:rPr>
          <w:color w:val="000000"/>
        </w:rPr>
        <w:t>, как ожидается</w:t>
      </w:r>
      <w:r w:rsidR="00327EC8">
        <w:rPr>
          <w:color w:val="000000"/>
        </w:rPr>
        <w:t xml:space="preserve"> </w:t>
      </w:r>
      <w:r w:rsidR="00745515" w:rsidRPr="00745515">
        <w:rPr>
          <w:color w:val="000000"/>
        </w:rPr>
        <w:t>[1]</w:t>
      </w:r>
      <w:r w:rsidR="005329E6">
        <w:rPr>
          <w:color w:val="000000"/>
        </w:rPr>
        <w:t>,</w:t>
      </w:r>
      <w:r w:rsidR="00745515" w:rsidRPr="00745515">
        <w:rPr>
          <w:color w:val="000000"/>
        </w:rPr>
        <w:t xml:space="preserve"> </w:t>
      </w:r>
      <w:r w:rsidR="00C5433C">
        <w:rPr>
          <w:color w:val="000000"/>
        </w:rPr>
        <w:t>станут наиболее частой причиной смертности</w:t>
      </w:r>
      <w:r w:rsidR="00745515">
        <w:rPr>
          <w:color w:val="000000"/>
        </w:rPr>
        <w:t xml:space="preserve">. </w:t>
      </w:r>
    </w:p>
    <w:p w14:paraId="267B6243" w14:textId="0FC0A065" w:rsidR="004A0D75" w:rsidRDefault="004A0D75" w:rsidP="00C543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Исследование </w:t>
      </w:r>
      <w:r w:rsidR="005044FA" w:rsidRPr="00CF3CE3">
        <w:t>устойчивости</w:t>
      </w:r>
      <w:r w:rsidR="00E14476">
        <w:t xml:space="preserve"> </w:t>
      </w:r>
      <w:r w:rsidR="00E14476">
        <w:rPr>
          <w:color w:val="000000"/>
        </w:rPr>
        <w:t>бактериальных штаммов</w:t>
      </w:r>
      <w:r w:rsidR="005044FA" w:rsidRPr="00CF3CE3">
        <w:t xml:space="preserve"> к антибиотикам</w:t>
      </w:r>
      <w:r w:rsidR="005044FA" w:rsidRPr="005044FA">
        <w:rPr>
          <w:color w:val="FF0000"/>
        </w:rPr>
        <w:t xml:space="preserve"> </w:t>
      </w:r>
      <w:r>
        <w:rPr>
          <w:color w:val="000000"/>
        </w:rPr>
        <w:t>является важнейшим шагом при лечении резистентных инфекций. К сожалению, часто применя</w:t>
      </w:r>
      <w:r w:rsidR="00C664A4">
        <w:rPr>
          <w:color w:val="000000"/>
        </w:rPr>
        <w:t>ю</w:t>
      </w:r>
      <w:r>
        <w:rPr>
          <w:color w:val="000000"/>
        </w:rPr>
        <w:t xml:space="preserve">тся эмпирические схемы лечения, не основанные на данных об устойчивости патогена. Это часто приводит либо к неэффективности терапии, либо к необоснованному использованию антибиотиков резерва, что повышает риск возникновения устойчивости </w:t>
      </w:r>
      <w:r w:rsidRPr="008C6E3C">
        <w:t xml:space="preserve">к </w:t>
      </w:r>
      <w:r w:rsidR="005044FA" w:rsidRPr="008C6E3C">
        <w:t>ним</w:t>
      </w:r>
      <w:r w:rsidRPr="008C6E3C">
        <w:t xml:space="preserve">. Одна из </w:t>
      </w:r>
      <w:r>
        <w:rPr>
          <w:color w:val="000000"/>
        </w:rPr>
        <w:t xml:space="preserve">причин выбора таких схем лечения – длительность проведения тестов на </w:t>
      </w:r>
      <w:r w:rsidRPr="008C6E3C">
        <w:t>устойчивость</w:t>
      </w:r>
      <w:r w:rsidR="005044FA" w:rsidRPr="008C6E3C">
        <w:t xml:space="preserve"> к антибиотикам</w:t>
      </w:r>
      <w:r w:rsidRPr="008C6E3C">
        <w:t>. Наибол</w:t>
      </w:r>
      <w:r>
        <w:rPr>
          <w:color w:val="000000"/>
        </w:rPr>
        <w:t xml:space="preserve">ее широко применяемые методы – культуральные, требующие роста колоний клеток, что занимает в среднем несколько суток для получения результата. </w:t>
      </w:r>
      <w:r w:rsidRPr="008C6E3C">
        <w:t>«</w:t>
      </w:r>
      <w:r w:rsidR="005044FA" w:rsidRPr="008C6E3C">
        <w:t>Б</w:t>
      </w:r>
      <w:r w:rsidRPr="008C6E3C">
        <w:t>ы</w:t>
      </w:r>
      <w:r>
        <w:rPr>
          <w:color w:val="000000"/>
        </w:rPr>
        <w:t xml:space="preserve">стрые» геномные или протеомные методы </w:t>
      </w:r>
      <w:r w:rsidR="00281E56">
        <w:rPr>
          <w:color w:val="000000"/>
        </w:rPr>
        <w:t xml:space="preserve">не имеют достаточной универсальности и часто применимы лишь к конкретному механизму устойчивости конкретного штамма. </w:t>
      </w:r>
    </w:p>
    <w:p w14:paraId="139AEFF7" w14:textId="09BE5DE0" w:rsidR="00DC275F" w:rsidRPr="002D4B16" w:rsidRDefault="00A22CBE" w:rsidP="00281E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Ранее н</w:t>
      </w:r>
      <w:r w:rsidR="00281E56">
        <w:rPr>
          <w:color w:val="000000"/>
        </w:rPr>
        <w:t xml:space="preserve">ами был разработан быстрый метод определения антибиотикорезистентности, основанный на оценке влияния антибиотика на метаболизм клетки при помощи МТТ теста. Образующийся в ходе реакции формазан определяли методом </w:t>
      </w:r>
      <w:r>
        <w:rPr>
          <w:color w:val="000000"/>
        </w:rPr>
        <w:t>р</w:t>
      </w:r>
      <w:r w:rsidR="00281E56">
        <w:rPr>
          <w:color w:val="000000"/>
        </w:rPr>
        <w:t>амановской спектроскопии, позволивш</w:t>
      </w:r>
      <w:r w:rsidR="000A1475">
        <w:rPr>
          <w:color w:val="000000"/>
        </w:rPr>
        <w:t>е</w:t>
      </w:r>
      <w:r w:rsidR="00281E56">
        <w:rPr>
          <w:color w:val="000000"/>
        </w:rPr>
        <w:t>й проводить измерения с высокой специфичностью без пробоподготовки и выделения формазана из реакционной смеси. Время анализа составляет не более 2 часов, с пределом обнаружения в 1*10</w:t>
      </w:r>
      <w:r w:rsidR="00281E56" w:rsidRPr="008C6E3C">
        <w:rPr>
          <w:vertAlign w:val="superscript"/>
        </w:rPr>
        <w:t>7</w:t>
      </w:r>
      <w:r w:rsidR="00281E56" w:rsidRPr="00281E56">
        <w:rPr>
          <w:color w:val="000000"/>
        </w:rPr>
        <w:t xml:space="preserve"> </w:t>
      </w:r>
      <w:r w:rsidR="00281E56">
        <w:rPr>
          <w:color w:val="000000"/>
        </w:rPr>
        <w:t>КОЕ/мл</w:t>
      </w:r>
      <w:r w:rsidR="005044FA">
        <w:rPr>
          <w:color w:val="000000"/>
        </w:rPr>
        <w:t xml:space="preserve"> (</w:t>
      </w:r>
      <w:r w:rsidR="008C6E3C">
        <w:t>Колониеобразующих единиц</w:t>
      </w:r>
      <w:r w:rsidR="005044FA">
        <w:rPr>
          <w:color w:val="000000"/>
        </w:rPr>
        <w:t>)</w:t>
      </w:r>
      <w:r w:rsidR="00DC275F">
        <w:rPr>
          <w:color w:val="000000"/>
        </w:rPr>
        <w:t>.</w:t>
      </w:r>
      <w:r w:rsidR="00801379">
        <w:rPr>
          <w:color w:val="000000"/>
        </w:rPr>
        <w:t xml:space="preserve"> Данная концентрация бактериальных клеток достаточно высока</w:t>
      </w:r>
      <w:r w:rsidR="002D4B16" w:rsidRPr="002D4B16">
        <w:rPr>
          <w:color w:val="000000"/>
        </w:rPr>
        <w:t xml:space="preserve"> </w:t>
      </w:r>
      <w:r w:rsidR="002D4B16">
        <w:rPr>
          <w:color w:val="000000"/>
        </w:rPr>
        <w:t>для клинических образцов, таким образом невозможно непосредственное измерение образцов без подращивания клеток.</w:t>
      </w:r>
    </w:p>
    <w:p w14:paraId="2194CBC8" w14:textId="6E755AF7" w:rsidR="00801379" w:rsidRPr="008C6E3C" w:rsidRDefault="00DC275F" w:rsidP="008013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В данной работе предложен способ повышения чувствительности метода при помощи эффекта гигантского комбинационного рассеяния (ГКР) на серебряных наночастицах. Образцы культур после обработки формазаном фильтруются через мембраны с напыленными наночастицами, при этом на мембранах задерживаются клетки и свободно плавающие кристаллы формазана.  За счет </w:t>
      </w:r>
      <w:r w:rsidR="00801379">
        <w:rPr>
          <w:color w:val="000000"/>
        </w:rPr>
        <w:t>эффекта ГКР</w:t>
      </w:r>
      <w:r>
        <w:rPr>
          <w:color w:val="000000"/>
        </w:rPr>
        <w:t xml:space="preserve"> </w:t>
      </w:r>
      <w:r w:rsidR="00F1202A">
        <w:rPr>
          <w:color w:val="000000"/>
        </w:rPr>
        <w:t>минимально определяемая</w:t>
      </w:r>
      <w:r w:rsidR="003E72DF">
        <w:rPr>
          <w:color w:val="000000"/>
        </w:rPr>
        <w:t xml:space="preserve"> на рамановском спектрометре</w:t>
      </w:r>
      <w:r w:rsidR="00F1202A">
        <w:rPr>
          <w:color w:val="000000"/>
        </w:rPr>
        <w:t xml:space="preserve"> концентрация</w:t>
      </w:r>
      <w:r w:rsidR="002D4B16">
        <w:rPr>
          <w:color w:val="000000"/>
        </w:rPr>
        <w:t xml:space="preserve"> </w:t>
      </w:r>
      <w:r w:rsidR="00F1202A">
        <w:rPr>
          <w:color w:val="000000"/>
        </w:rPr>
        <w:t>бактерий снизилась до 1*10</w:t>
      </w:r>
      <w:r w:rsidR="00F1202A" w:rsidRPr="005044FA">
        <w:rPr>
          <w:color w:val="000000"/>
          <w:vertAlign w:val="superscript"/>
        </w:rPr>
        <w:t>3</w:t>
      </w:r>
      <w:r w:rsidR="00F1202A">
        <w:rPr>
          <w:color w:val="000000"/>
        </w:rPr>
        <w:t xml:space="preserve"> КОЕ/мл. </w:t>
      </w:r>
      <w:r w:rsidR="00801379">
        <w:rPr>
          <w:color w:val="000000"/>
        </w:rPr>
        <w:t xml:space="preserve">Усиление сигнала </w:t>
      </w:r>
      <w:r w:rsidR="002D4B16">
        <w:rPr>
          <w:color w:val="000000"/>
        </w:rPr>
        <w:t xml:space="preserve">оказалось </w:t>
      </w:r>
      <w:r w:rsidR="00801379">
        <w:rPr>
          <w:color w:val="000000"/>
        </w:rPr>
        <w:t>достаточно высок</w:t>
      </w:r>
      <w:r w:rsidR="002D4B16">
        <w:rPr>
          <w:color w:val="000000"/>
        </w:rPr>
        <w:t>им</w:t>
      </w:r>
      <w:r w:rsidR="00801379">
        <w:rPr>
          <w:color w:val="000000"/>
        </w:rPr>
        <w:t xml:space="preserve"> для измерения спектра формазана от отдельной клетки при помощи рамановского микроскопа</w:t>
      </w:r>
      <w:r w:rsidR="00513054">
        <w:rPr>
          <w:color w:val="000000"/>
        </w:rPr>
        <w:t xml:space="preserve">, таким образом чувствительность метода была повышена вплоть до анализа единичных клеток. </w:t>
      </w:r>
      <w:r w:rsidR="008C6E3C">
        <w:t xml:space="preserve">При действии антибиотика интенсивность полос формазана единичных клеток </w:t>
      </w:r>
      <w:r w:rsidR="00AA04EF">
        <w:t>также снижается, позволяя оценить устойчивость образца к антибиотику.</w:t>
      </w:r>
    </w:p>
    <w:p w14:paraId="3BEA86F9" w14:textId="77777777" w:rsidR="006647FB" w:rsidRPr="008064E1" w:rsidRDefault="006647FB" w:rsidP="008013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FF0000"/>
        </w:rPr>
      </w:pPr>
    </w:p>
    <w:p w14:paraId="0C081C3C" w14:textId="3578D19C" w:rsidR="005347E0" w:rsidRPr="00764FB4" w:rsidRDefault="00872E55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72E55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r w:rsidRPr="00872E55">
        <w:rPr>
          <w:color w:val="000000"/>
          <w:lang w:val="en-US"/>
        </w:rPr>
        <w:t xml:space="preserve">Bassetti M. et al. Antimicrobial resistance in the next 30 years, humankind, bugs and drugs: a visionary approach //Intensive care medicine. </w:t>
      </w:r>
      <w:r w:rsidRPr="000A1475">
        <w:rPr>
          <w:color w:val="000000"/>
          <w:lang w:val="en-US"/>
        </w:rPr>
        <w:t xml:space="preserve">2017. </w:t>
      </w:r>
      <w:r w:rsidRPr="00872E55">
        <w:rPr>
          <w:color w:val="000000"/>
        </w:rPr>
        <w:t>Vol. 43. P. 1464-1475.</w:t>
      </w:r>
    </w:p>
    <w:sectPr w:rsidR="005347E0" w:rsidRPr="00764FB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27070E4"/>
    <w:multiLevelType w:val="hybridMultilevel"/>
    <w:tmpl w:val="5AB0A0BA"/>
    <w:lvl w:ilvl="0" w:tplc="5B0412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970934">
    <w:abstractNumId w:val="0"/>
  </w:num>
  <w:num w:numId="2" w16cid:durableId="1423574133">
    <w:abstractNumId w:val="2"/>
  </w:num>
  <w:num w:numId="3" w16cid:durableId="366175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4F75"/>
    <w:rsid w:val="00063966"/>
    <w:rsid w:val="00086081"/>
    <w:rsid w:val="000A1475"/>
    <w:rsid w:val="00101A1C"/>
    <w:rsid w:val="00103657"/>
    <w:rsid w:val="00106375"/>
    <w:rsid w:val="00116478"/>
    <w:rsid w:val="00130241"/>
    <w:rsid w:val="001E2717"/>
    <w:rsid w:val="001E61C2"/>
    <w:rsid w:val="001F0493"/>
    <w:rsid w:val="002264EE"/>
    <w:rsid w:val="0023307C"/>
    <w:rsid w:val="00281E56"/>
    <w:rsid w:val="002C6853"/>
    <w:rsid w:val="002D4B16"/>
    <w:rsid w:val="00300984"/>
    <w:rsid w:val="0031361E"/>
    <w:rsid w:val="00327EC8"/>
    <w:rsid w:val="00391C38"/>
    <w:rsid w:val="003B76D6"/>
    <w:rsid w:val="003E72DF"/>
    <w:rsid w:val="004A0D75"/>
    <w:rsid w:val="004A26A3"/>
    <w:rsid w:val="004F0EDF"/>
    <w:rsid w:val="005044FA"/>
    <w:rsid w:val="00513054"/>
    <w:rsid w:val="00522BF1"/>
    <w:rsid w:val="005329E6"/>
    <w:rsid w:val="005347E0"/>
    <w:rsid w:val="00590166"/>
    <w:rsid w:val="005D022B"/>
    <w:rsid w:val="005E5BE9"/>
    <w:rsid w:val="006647FB"/>
    <w:rsid w:val="0069427D"/>
    <w:rsid w:val="006F7A19"/>
    <w:rsid w:val="007213E1"/>
    <w:rsid w:val="00745515"/>
    <w:rsid w:val="00764FB4"/>
    <w:rsid w:val="00770090"/>
    <w:rsid w:val="00775389"/>
    <w:rsid w:val="00797838"/>
    <w:rsid w:val="007C36D8"/>
    <w:rsid w:val="007F2744"/>
    <w:rsid w:val="00801379"/>
    <w:rsid w:val="008064E1"/>
    <w:rsid w:val="00872E55"/>
    <w:rsid w:val="008931BE"/>
    <w:rsid w:val="008C67E3"/>
    <w:rsid w:val="008C6E3C"/>
    <w:rsid w:val="00921D45"/>
    <w:rsid w:val="009A66DB"/>
    <w:rsid w:val="009B2F80"/>
    <w:rsid w:val="009B3300"/>
    <w:rsid w:val="009E2FF9"/>
    <w:rsid w:val="009F3380"/>
    <w:rsid w:val="00A02163"/>
    <w:rsid w:val="00A22CBE"/>
    <w:rsid w:val="00A314FE"/>
    <w:rsid w:val="00A45BDC"/>
    <w:rsid w:val="00AA04EF"/>
    <w:rsid w:val="00BF36F8"/>
    <w:rsid w:val="00BF4622"/>
    <w:rsid w:val="00C5433C"/>
    <w:rsid w:val="00C664A4"/>
    <w:rsid w:val="00CD00B1"/>
    <w:rsid w:val="00CF3CE3"/>
    <w:rsid w:val="00D01C31"/>
    <w:rsid w:val="00D12E46"/>
    <w:rsid w:val="00D22306"/>
    <w:rsid w:val="00D42542"/>
    <w:rsid w:val="00D8121C"/>
    <w:rsid w:val="00DC275F"/>
    <w:rsid w:val="00E14476"/>
    <w:rsid w:val="00E22189"/>
    <w:rsid w:val="00E74069"/>
    <w:rsid w:val="00EB1F49"/>
    <w:rsid w:val="00F1202A"/>
    <w:rsid w:val="00F72F3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41CEB8-2992-48C7-8758-0BADA54D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2464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Гребенкина Анастасия</cp:lastModifiedBy>
  <cp:revision>32</cp:revision>
  <dcterms:created xsi:type="dcterms:W3CDTF">2022-11-07T09:18:00Z</dcterms:created>
  <dcterms:modified xsi:type="dcterms:W3CDTF">2024-02-14T20:33:00Z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