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73D4" w14:textId="3902F502" w:rsidR="00797838" w:rsidRDefault="0038300E">
      <w:pPr>
        <w:pBdr>
          <w:top w:val="nil"/>
          <w:left w:val="nil"/>
          <w:bottom w:val="nil"/>
          <w:right w:val="nil"/>
          <w:between w:val="nil"/>
        </w:pBdr>
        <w:shd w:val="clear" w:color="auto" w:fill="FFFFFF"/>
        <w:jc w:val="center"/>
        <w:rPr>
          <w:b/>
          <w:color w:val="000000"/>
          <w:highlight w:val="yellow"/>
        </w:rPr>
      </w:pPr>
      <w:r w:rsidRPr="0038300E">
        <w:rPr>
          <w:b/>
          <w:color w:val="000000"/>
        </w:rPr>
        <w:t>Термодинамическ</w:t>
      </w:r>
      <w:r>
        <w:rPr>
          <w:b/>
          <w:color w:val="000000"/>
        </w:rPr>
        <w:t xml:space="preserve">ие аспекты взаимодействия </w:t>
      </w:r>
      <w:r w:rsidRPr="0038300E">
        <w:rPr>
          <w:b/>
          <w:color w:val="000000"/>
        </w:rPr>
        <w:t xml:space="preserve">левофлоксацина с сывороточным альбумином, </w:t>
      </w:r>
      <w:r>
        <w:rPr>
          <w:b/>
          <w:color w:val="000000"/>
        </w:rPr>
        <w:t>модифицированным</w:t>
      </w:r>
      <w:r w:rsidRPr="0038300E">
        <w:rPr>
          <w:b/>
          <w:color w:val="000000"/>
        </w:rPr>
        <w:t xml:space="preserve"> β-циклодекстрин</w:t>
      </w:r>
      <w:r w:rsidR="000371E7">
        <w:rPr>
          <w:b/>
          <w:color w:val="000000"/>
        </w:rPr>
        <w:t>ом</w:t>
      </w:r>
    </w:p>
    <w:p w14:paraId="00000002" w14:textId="0C640D0C" w:rsidR="00130241" w:rsidRDefault="0038300E">
      <w:pPr>
        <w:pBdr>
          <w:top w:val="nil"/>
          <w:left w:val="nil"/>
          <w:bottom w:val="nil"/>
          <w:right w:val="nil"/>
          <w:between w:val="nil"/>
        </w:pBdr>
        <w:shd w:val="clear" w:color="auto" w:fill="FFFFFF"/>
        <w:jc w:val="center"/>
        <w:rPr>
          <w:color w:val="000000"/>
        </w:rPr>
      </w:pPr>
      <w:r>
        <w:rPr>
          <w:b/>
          <w:i/>
          <w:color w:val="000000"/>
        </w:rPr>
        <w:t>Копнова Т.Ю.</w:t>
      </w:r>
      <w:r w:rsidR="00EB1F49">
        <w:rPr>
          <w:b/>
          <w:i/>
          <w:color w:val="000000"/>
          <w:vertAlign w:val="superscript"/>
        </w:rPr>
        <w:t>1</w:t>
      </w:r>
      <w:r w:rsidR="008C67E3">
        <w:rPr>
          <w:b/>
          <w:i/>
          <w:color w:val="000000"/>
        </w:rPr>
        <w:t>,</w:t>
      </w:r>
      <w:r w:rsidR="00EB1F49">
        <w:rPr>
          <w:b/>
          <w:i/>
          <w:color w:val="000000"/>
        </w:rPr>
        <w:t xml:space="preserve"> </w:t>
      </w:r>
      <w:r>
        <w:rPr>
          <w:b/>
          <w:i/>
          <w:color w:val="000000"/>
        </w:rPr>
        <w:t>Якупова Л.Р.</w:t>
      </w:r>
      <w:r w:rsidR="003B76D6" w:rsidRPr="003B76D6">
        <w:rPr>
          <w:b/>
          <w:i/>
          <w:color w:val="000000"/>
          <w:vertAlign w:val="superscript"/>
        </w:rPr>
        <w:t>1</w:t>
      </w:r>
      <w:r>
        <w:rPr>
          <w:b/>
          <w:i/>
          <w:color w:val="000000"/>
        </w:rPr>
        <w:t>, Скуредина А.А.</w:t>
      </w:r>
      <w:r w:rsidRPr="0038300E">
        <w:rPr>
          <w:b/>
          <w:i/>
          <w:color w:val="000000"/>
          <w:vertAlign w:val="superscript"/>
        </w:rPr>
        <w:t xml:space="preserve"> </w:t>
      </w:r>
      <w:r w:rsidRPr="003B76D6">
        <w:rPr>
          <w:b/>
          <w:i/>
          <w:color w:val="000000"/>
          <w:vertAlign w:val="superscript"/>
        </w:rPr>
        <w:t>1</w:t>
      </w:r>
      <w:r>
        <w:rPr>
          <w:b/>
          <w:i/>
          <w:color w:val="000000"/>
        </w:rPr>
        <w:t>,</w:t>
      </w:r>
      <w:r w:rsidR="000371E7">
        <w:rPr>
          <w:b/>
          <w:i/>
          <w:color w:val="000000"/>
        </w:rPr>
        <w:t xml:space="preserve"> </w:t>
      </w:r>
      <w:r>
        <w:rPr>
          <w:b/>
          <w:i/>
          <w:color w:val="000000"/>
        </w:rPr>
        <w:t>Кудряшова Е.В.</w:t>
      </w:r>
      <w:r w:rsidRPr="0038300E">
        <w:rPr>
          <w:b/>
          <w:i/>
          <w:color w:val="000000"/>
          <w:vertAlign w:val="superscript"/>
        </w:rPr>
        <w:t xml:space="preserve"> </w:t>
      </w:r>
      <w:r w:rsidRPr="003B76D6">
        <w:rPr>
          <w:b/>
          <w:i/>
          <w:color w:val="000000"/>
          <w:vertAlign w:val="superscript"/>
        </w:rPr>
        <w:t>1</w:t>
      </w:r>
    </w:p>
    <w:p w14:paraId="00000003" w14:textId="30A02547" w:rsidR="00130241" w:rsidRDefault="00EB1F49">
      <w:pPr>
        <w:pBdr>
          <w:top w:val="nil"/>
          <w:left w:val="nil"/>
          <w:bottom w:val="nil"/>
          <w:right w:val="nil"/>
          <w:between w:val="nil"/>
        </w:pBdr>
        <w:shd w:val="clear" w:color="auto" w:fill="FFFFFF"/>
        <w:jc w:val="center"/>
        <w:rPr>
          <w:color w:val="000000"/>
        </w:rPr>
      </w:pPr>
      <w:r>
        <w:rPr>
          <w:i/>
          <w:color w:val="000000"/>
        </w:rPr>
        <w:t xml:space="preserve">Студент, </w:t>
      </w:r>
      <w:r w:rsidR="0038300E">
        <w:rPr>
          <w:i/>
          <w:color w:val="000000"/>
        </w:rPr>
        <w:t>6</w:t>
      </w:r>
      <w:r>
        <w:rPr>
          <w:i/>
          <w:color w:val="000000"/>
        </w:rPr>
        <w:t xml:space="preserve"> курс специалитета </w:t>
      </w:r>
    </w:p>
    <w:p w14:paraId="00000004" w14:textId="1FBD43D9" w:rsidR="00130241" w:rsidRPr="00921D45" w:rsidRDefault="00EB1F49">
      <w:pPr>
        <w:pBdr>
          <w:top w:val="nil"/>
          <w:left w:val="nil"/>
          <w:bottom w:val="nil"/>
          <w:right w:val="nil"/>
          <w:between w:val="nil"/>
        </w:pBdr>
        <w:shd w:val="clear" w:color="auto" w:fill="FFFFFF"/>
        <w:jc w:val="center"/>
        <w:rPr>
          <w:color w:val="000000"/>
        </w:rPr>
      </w:pPr>
      <w:r>
        <w:rPr>
          <w:i/>
          <w:color w:val="000000"/>
          <w:vertAlign w:val="superscript"/>
        </w:rPr>
        <w:t>1</w:t>
      </w:r>
      <w:r>
        <w:rPr>
          <w:i/>
          <w:color w:val="000000"/>
        </w:rPr>
        <w:t>Московский государственный университет имени М.В.</w:t>
      </w:r>
      <w:r w:rsidR="00921D45">
        <w:rPr>
          <w:i/>
          <w:color w:val="000000"/>
        </w:rPr>
        <w:t xml:space="preserve"> </w:t>
      </w:r>
      <w:r>
        <w:rPr>
          <w:i/>
          <w:color w:val="000000"/>
        </w:rPr>
        <w:t>Ломоносова, </w:t>
      </w:r>
    </w:p>
    <w:p w14:paraId="00000005" w14:textId="1A249D70" w:rsidR="00130241" w:rsidRPr="00391C38" w:rsidRDefault="00391C38">
      <w:pPr>
        <w:pBdr>
          <w:top w:val="nil"/>
          <w:left w:val="nil"/>
          <w:bottom w:val="nil"/>
          <w:right w:val="nil"/>
          <w:between w:val="nil"/>
        </w:pBdr>
        <w:shd w:val="clear" w:color="auto" w:fill="FFFFFF"/>
        <w:jc w:val="center"/>
        <w:rPr>
          <w:color w:val="000000"/>
        </w:rPr>
      </w:pPr>
      <w:r>
        <w:rPr>
          <w:i/>
          <w:color w:val="000000"/>
        </w:rPr>
        <w:t>химический</w:t>
      </w:r>
      <w:r w:rsidR="00EB1F49">
        <w:rPr>
          <w:i/>
          <w:color w:val="000000"/>
        </w:rPr>
        <w:t xml:space="preserve"> факультет, Москва, Россия</w:t>
      </w:r>
    </w:p>
    <w:p w14:paraId="1ADA4293" w14:textId="24A43BD9" w:rsidR="00CD00B1" w:rsidRDefault="00EB1F49" w:rsidP="0038300E">
      <w:pPr>
        <w:pBdr>
          <w:top w:val="nil"/>
          <w:left w:val="nil"/>
          <w:bottom w:val="nil"/>
          <w:right w:val="nil"/>
          <w:between w:val="nil"/>
        </w:pBdr>
        <w:shd w:val="clear" w:color="auto" w:fill="FFFFFF"/>
        <w:jc w:val="center"/>
        <w:rPr>
          <w:color w:val="000000"/>
        </w:rPr>
      </w:pPr>
      <w:r>
        <w:rPr>
          <w:i/>
          <w:color w:val="000000"/>
        </w:rPr>
        <w:t>E</w:t>
      </w:r>
      <w:r w:rsidR="003B76D6">
        <w:rPr>
          <w:i/>
          <w:color w:val="000000"/>
        </w:rPr>
        <w:t>-</w:t>
      </w:r>
      <w:r>
        <w:rPr>
          <w:i/>
          <w:color w:val="000000"/>
        </w:rPr>
        <w:t xml:space="preserve">mail: </w:t>
      </w:r>
      <w:r w:rsidR="0038300E" w:rsidRPr="0038300E">
        <w:rPr>
          <w:i/>
          <w:u w:val="single"/>
        </w:rPr>
        <w:t>kopnovataty@gmail.com</w:t>
      </w:r>
      <w:r w:rsidR="0038300E">
        <w:t xml:space="preserve"> </w:t>
      </w:r>
    </w:p>
    <w:p w14:paraId="4573823F" w14:textId="5C936388" w:rsidR="00222496" w:rsidRDefault="00222496" w:rsidP="002264EE">
      <w:pPr>
        <w:pBdr>
          <w:top w:val="nil"/>
          <w:left w:val="nil"/>
          <w:bottom w:val="nil"/>
          <w:right w:val="nil"/>
          <w:between w:val="nil"/>
        </w:pBdr>
        <w:shd w:val="clear" w:color="auto" w:fill="FFFFFF"/>
        <w:ind w:firstLine="397"/>
        <w:jc w:val="both"/>
        <w:rPr>
          <w:color w:val="000000"/>
        </w:rPr>
      </w:pPr>
      <w:r w:rsidRPr="00222496">
        <w:rPr>
          <w:color w:val="000000"/>
        </w:rPr>
        <w:t xml:space="preserve">Левофлоксацин (ЛФ), </w:t>
      </w:r>
      <w:r>
        <w:rPr>
          <w:color w:val="000000"/>
        </w:rPr>
        <w:t xml:space="preserve">антибактериальный препарат, </w:t>
      </w:r>
      <w:r w:rsidRPr="00222496">
        <w:rPr>
          <w:color w:val="000000"/>
        </w:rPr>
        <w:t>широко применя</w:t>
      </w:r>
      <w:r>
        <w:rPr>
          <w:color w:val="000000"/>
        </w:rPr>
        <w:t>ющийся</w:t>
      </w:r>
      <w:r w:rsidRPr="00222496">
        <w:rPr>
          <w:color w:val="000000"/>
        </w:rPr>
        <w:t xml:space="preserve"> для борьбы с различными бактериальными инфекциями. </w:t>
      </w:r>
      <w:r>
        <w:rPr>
          <w:color w:val="000000"/>
        </w:rPr>
        <w:t>Д</w:t>
      </w:r>
      <w:r w:rsidRPr="00222496">
        <w:rPr>
          <w:color w:val="000000"/>
        </w:rPr>
        <w:t xml:space="preserve">лительное использование </w:t>
      </w:r>
      <w:r>
        <w:rPr>
          <w:color w:val="000000"/>
        </w:rPr>
        <w:t>ЛФ</w:t>
      </w:r>
      <w:r w:rsidRPr="00222496">
        <w:rPr>
          <w:color w:val="000000"/>
        </w:rPr>
        <w:t xml:space="preserve"> может привести к появлению нежелательных побочных эффектов, что подчеркивает необходимость разработки новых подходов к его доставке для повышения эффективности терапии. Образование комплексов ЛФ с циклодекстринами (ЦД) и полимерными частицами, основанными на них (</w:t>
      </w:r>
      <w:proofErr w:type="spellStart"/>
      <w:r w:rsidRPr="00222496">
        <w:rPr>
          <w:color w:val="000000"/>
        </w:rPr>
        <w:t>ПолЦД</w:t>
      </w:r>
      <w:proofErr w:type="spellEnd"/>
      <w:r w:rsidRPr="00222496">
        <w:rPr>
          <w:color w:val="000000"/>
        </w:rPr>
        <w:t xml:space="preserve">), может способствовать улучшению его растворимости и биодоступности. Исследование влияния ЦД на взаимодействие с человеческим сывороточным альбумином (ЧСА) представляет собой ключевой аспект, учитывая важность влияния связывания с белками плазмы крови на характеристики лекарственных средств и их распределение в организме. ЧСА, </w:t>
      </w:r>
      <w:r w:rsidR="000371E7">
        <w:rPr>
          <w:color w:val="000000"/>
        </w:rPr>
        <w:t>будучи</w:t>
      </w:r>
      <w:r w:rsidR="000371E7">
        <w:rPr>
          <w:color w:val="000000"/>
        </w:rPr>
        <w:t xml:space="preserve"> </w:t>
      </w:r>
      <w:r w:rsidRPr="00222496">
        <w:rPr>
          <w:color w:val="000000"/>
        </w:rPr>
        <w:t xml:space="preserve">одним из наиболее распространенных белков плазмы крови человека, играет существенную роль в транспортировке различных веществ, включая лекарственные молекулы. Кроме того, ЧСА может </w:t>
      </w:r>
      <w:r w:rsidR="00BF1432">
        <w:rPr>
          <w:color w:val="000000"/>
        </w:rPr>
        <w:t>быть использован</w:t>
      </w:r>
      <w:r w:rsidR="00711BF9">
        <w:rPr>
          <w:color w:val="000000"/>
        </w:rPr>
        <w:t xml:space="preserve"> непосредственно</w:t>
      </w:r>
      <w:r w:rsidR="00BF1432" w:rsidRPr="00222496">
        <w:rPr>
          <w:color w:val="000000"/>
        </w:rPr>
        <w:t xml:space="preserve"> </w:t>
      </w:r>
      <w:r w:rsidRPr="00222496">
        <w:rPr>
          <w:color w:val="000000"/>
        </w:rPr>
        <w:t xml:space="preserve">в качестве носителя </w:t>
      </w:r>
      <w:r w:rsidR="00711BF9">
        <w:rPr>
          <w:color w:val="000000"/>
        </w:rPr>
        <w:t>лекарств</w:t>
      </w:r>
      <w:r w:rsidRPr="00222496">
        <w:rPr>
          <w:color w:val="000000"/>
        </w:rPr>
        <w:t xml:space="preserve">, что подтверждается разработкой препаратов, таких как </w:t>
      </w:r>
      <w:proofErr w:type="spellStart"/>
      <w:r w:rsidRPr="00222496">
        <w:rPr>
          <w:color w:val="000000"/>
        </w:rPr>
        <w:t>Амбраксан</w:t>
      </w:r>
      <w:proofErr w:type="spellEnd"/>
      <w:r w:rsidRPr="00222496">
        <w:rPr>
          <w:color w:val="000000"/>
        </w:rPr>
        <w:t>, где противоопухолевое средство стабилизируется ЧСА</w:t>
      </w:r>
      <w:r w:rsidR="004D0EC7">
        <w:rPr>
          <w:color w:val="000000"/>
        </w:rPr>
        <w:t xml:space="preserve"> </w:t>
      </w:r>
      <w:r w:rsidR="004D0EC7">
        <w:rPr>
          <w:color w:val="000000"/>
        </w:rPr>
        <w:fldChar w:fldCharType="begin" w:fldLock="1"/>
      </w:r>
      <w:r w:rsidR="004D0EC7">
        <w:rPr>
          <w:color w:val="000000"/>
        </w:rPr>
        <w:instrText>ADDIN CSL_CITATION {"citationItems":[{"id":"ITEM-1","itemData":{"DOI":"10.1016/j.mam.2011.12.002","ISSN":"00982997","abstract":"Human serum albumin (HSA), the most abundant protein in plasma, is a monomeric multi-domain macromolecule, representing the main determinant of plasma oncotic pressure and the main modulator of fluid distribution between body compartments. HSA displays an extraordinary ligand binding capacity, providing a depot and carrier for many endogenous and exogenous compounds. Indeed, HSA represents the main carrier for fatty acids, affects pharmacokinetics of many drugs, provides the metabolic modification of some ligands, renders potential toxins harmless, accounts for most of the anti-oxidant capacity of human plasma, and displays (pseudo-)enzymatic properties. HSA is a valuable biomarker of many diseases, including cancer, rheumatoid arthritis, ischemia, post-menopausal obesity, severe acute graft-versus-host disease, and diseases that need monitoring of the glycemic control. Moreover, HSA is widely used clinically to treat several diseases, including hypovolemia, shock, burns, surgical blood loss, trauma, hemorrhage, cardiopulmonary bypass, acute respiratory distress syndrome, hemodialysis, acute liver failure, chronic liver disease, nutrition support, resuscitation, and hypoalbuminemia. Recently, biotechnological applications of HSA, including implantable biomaterials, surgical adhesives and sealants, biochromatography, ligand trapping, and fusion proteins, have been reported. Here, genetic, biochemical, biomedical, and biotechnological aspects of HSA are reviewed. © 2011 Elsevier Ltd. All rights reserved.","author":[{"dropping-particle":"","family":"Fanali","given":"Gabriella","non-dropping-particle":"","parse-names":false,"suffix":""},{"dropping-particle":"","family":"Masi","given":"Alessandra","non-dropping-particle":"di","parse-names":false,"suffix":""},{"dropping-particle":"","family":"Trezza","given":"Viviana","non-dropping-particle":"","parse-names":false,"suffix":""},{"dropping-particle":"","family":"Marino","given":"Maria","non-dropping-particle":"","parse-names":false,"suffix":""},{"dropping-particle":"","family":"Fasano","given":"Mauro","non-dropping-particle":"","parse-names":false,"suffix":""},{"dropping-particle":"","family":"Ascenzi","given":"Paolo","non-dropping-particle":"","parse-names":false,"suffix":""}],"container-title":"Molecular Aspects of Medicine","id":"ITEM-1","issue":"3","issued":{"date-parts":[["2012","6"]]},"page":"209-290","publisher":"Elsevier Ltd","title":"Human serum albumin: From bench to bedside","type":"article-journal","volume":"33"},"uris":["http://www.mendeley.com/documents/?uuid=54a4daa6-3679-414b-8e35-57020f44196c"]}],"mendeley":{"formattedCitation":"[1]","plainTextFormattedCitation":"[1]","previouslyFormattedCitation":"[1]"},"properties":{"noteIndex":0},"schema":"https://github.com/citation-style-language/schema/raw/master/csl-citation.json"}</w:instrText>
      </w:r>
      <w:r w:rsidR="004D0EC7">
        <w:rPr>
          <w:color w:val="000000"/>
        </w:rPr>
        <w:fldChar w:fldCharType="separate"/>
      </w:r>
      <w:r w:rsidR="004D0EC7" w:rsidRPr="004D0EC7">
        <w:rPr>
          <w:noProof/>
          <w:color w:val="000000"/>
        </w:rPr>
        <w:t>[1]</w:t>
      </w:r>
      <w:r w:rsidR="004D0EC7">
        <w:rPr>
          <w:color w:val="000000"/>
        </w:rPr>
        <w:fldChar w:fldCharType="end"/>
      </w:r>
      <w:r w:rsidRPr="00222496">
        <w:rPr>
          <w:color w:val="000000"/>
        </w:rPr>
        <w:t xml:space="preserve">. Проведение исследования влияния взаимодействий </w:t>
      </w:r>
      <w:r w:rsidR="002F77FE">
        <w:rPr>
          <w:color w:val="000000"/>
        </w:rPr>
        <w:t xml:space="preserve">препарат-ЧСА </w:t>
      </w:r>
      <w:r w:rsidRPr="00222496">
        <w:rPr>
          <w:color w:val="000000"/>
        </w:rPr>
        <w:t>имеет важное значение для последующего усовершенствования методов терапии.</w:t>
      </w:r>
      <w:r w:rsidR="000371E7">
        <w:rPr>
          <w:color w:val="000000"/>
        </w:rPr>
        <w:t xml:space="preserve"> </w:t>
      </w:r>
      <w:r>
        <w:rPr>
          <w:color w:val="000000"/>
        </w:rPr>
        <w:t>Изучены термодинамические параметры</w:t>
      </w:r>
      <w:r w:rsidRPr="00222496">
        <w:rPr>
          <w:color w:val="000000"/>
        </w:rPr>
        <w:t xml:space="preserve"> взаимодействия комплекса (</w:t>
      </w:r>
      <w:proofErr w:type="spellStart"/>
      <w:r w:rsidRPr="00222496">
        <w:rPr>
          <w:color w:val="000000"/>
        </w:rPr>
        <w:t>ЛФ+ЦД</w:t>
      </w:r>
      <w:proofErr w:type="spellEnd"/>
      <w:r w:rsidRPr="00222496">
        <w:rPr>
          <w:color w:val="000000"/>
        </w:rPr>
        <w:t>) с ЧСА</w:t>
      </w:r>
      <w:r>
        <w:rPr>
          <w:color w:val="000000"/>
        </w:rPr>
        <w:t>, а также</w:t>
      </w:r>
      <w:r w:rsidRPr="00222496">
        <w:rPr>
          <w:color w:val="000000"/>
        </w:rPr>
        <w:t xml:space="preserve"> </w:t>
      </w:r>
      <w:proofErr w:type="spellStart"/>
      <w:r w:rsidRPr="00222496">
        <w:rPr>
          <w:color w:val="000000"/>
        </w:rPr>
        <w:t>конъюгатами</w:t>
      </w:r>
      <w:proofErr w:type="spellEnd"/>
      <w:r w:rsidRPr="00222496">
        <w:rPr>
          <w:color w:val="000000"/>
        </w:rPr>
        <w:t xml:space="preserve"> ЧСА−ЦД и ЧСА−</w:t>
      </w:r>
      <w:proofErr w:type="spellStart"/>
      <w:r w:rsidRPr="00222496">
        <w:rPr>
          <w:color w:val="000000"/>
        </w:rPr>
        <w:t>По</w:t>
      </w:r>
      <w:r w:rsidR="000371E7">
        <w:rPr>
          <w:color w:val="000000"/>
        </w:rPr>
        <w:t>л</w:t>
      </w:r>
      <w:r w:rsidRPr="00222496">
        <w:rPr>
          <w:color w:val="000000"/>
        </w:rPr>
        <w:t>ЦД</w:t>
      </w:r>
      <w:proofErr w:type="spellEnd"/>
      <w:r w:rsidRPr="00222496">
        <w:rPr>
          <w:color w:val="000000"/>
        </w:rPr>
        <w:t xml:space="preserve"> (Таблиц</w:t>
      </w:r>
      <w:r>
        <w:rPr>
          <w:color w:val="000000"/>
        </w:rPr>
        <w:t>а</w:t>
      </w:r>
      <w:r w:rsidRPr="00222496">
        <w:rPr>
          <w:color w:val="000000"/>
        </w:rPr>
        <w:t xml:space="preserve"> 1). Полученные данные свидетельствуют о существенных изменениях в характере взаимодействия ЛФ с ЧСА в присутствии ЦД и его полимерных производных. Включение ЛФ в полост</w:t>
      </w:r>
      <w:r>
        <w:rPr>
          <w:color w:val="000000"/>
        </w:rPr>
        <w:t>ь</w:t>
      </w:r>
      <w:r w:rsidRPr="00222496">
        <w:rPr>
          <w:color w:val="000000"/>
        </w:rPr>
        <w:t xml:space="preserve"> ЦД приводит к заметному уменьшению константы связывания</w:t>
      </w:r>
      <w:r w:rsidR="00C827DF">
        <w:rPr>
          <w:color w:val="000000"/>
        </w:rPr>
        <w:t xml:space="preserve"> ЛФ-ЧСА</w:t>
      </w:r>
      <w:r w:rsidRPr="00222496">
        <w:rPr>
          <w:color w:val="000000"/>
        </w:rPr>
        <w:t xml:space="preserve"> в </w:t>
      </w:r>
      <w:r w:rsidR="003A121D">
        <w:rPr>
          <w:color w:val="000000"/>
        </w:rPr>
        <w:t>~</w:t>
      </w:r>
      <w:r w:rsidRPr="00222496">
        <w:rPr>
          <w:color w:val="000000"/>
        </w:rPr>
        <w:t>3 раза, а также значительному снижению энтальпии (Δ</w:t>
      </w:r>
      <w:r w:rsidRPr="00222496">
        <w:rPr>
          <w:i/>
          <w:iCs/>
          <w:color w:val="000000"/>
        </w:rPr>
        <w:t>H</w:t>
      </w:r>
      <w:r w:rsidRPr="00222496">
        <w:rPr>
          <w:color w:val="000000"/>
        </w:rPr>
        <w:t>)</w:t>
      </w:r>
      <w:r>
        <w:rPr>
          <w:color w:val="000000"/>
        </w:rPr>
        <w:t xml:space="preserve"> </w:t>
      </w:r>
      <w:r w:rsidRPr="00222496">
        <w:rPr>
          <w:color w:val="000000"/>
        </w:rPr>
        <w:t xml:space="preserve">в </w:t>
      </w:r>
      <w:r>
        <w:rPr>
          <w:color w:val="000000"/>
        </w:rPr>
        <w:t>~</w:t>
      </w:r>
      <w:r w:rsidRPr="00222496">
        <w:rPr>
          <w:color w:val="000000"/>
        </w:rPr>
        <w:t>5 раз и энтропии (Δ</w:t>
      </w:r>
      <w:r w:rsidRPr="00222496">
        <w:rPr>
          <w:i/>
          <w:iCs/>
          <w:color w:val="000000"/>
        </w:rPr>
        <w:t>S</w:t>
      </w:r>
      <w:r w:rsidRPr="00222496">
        <w:rPr>
          <w:color w:val="000000"/>
        </w:rPr>
        <w:t xml:space="preserve">) взаимодействия в </w:t>
      </w:r>
      <w:r>
        <w:rPr>
          <w:color w:val="000000"/>
        </w:rPr>
        <w:t>~</w:t>
      </w:r>
      <w:r w:rsidRPr="00222496">
        <w:rPr>
          <w:color w:val="000000"/>
        </w:rPr>
        <w:t xml:space="preserve">8 раз по сравнению со свободным ЛФ. Эти изменения могут указывать на значительное изменение механизма взаимодействия ЛФ с ЧСА. Предположительно, большие размеры комплекса </w:t>
      </w:r>
      <w:proofErr w:type="spellStart"/>
      <w:r w:rsidRPr="00222496">
        <w:rPr>
          <w:color w:val="000000"/>
        </w:rPr>
        <w:t>ЛФ+ЦД</w:t>
      </w:r>
      <w:proofErr w:type="spellEnd"/>
      <w:r w:rsidRPr="00222496">
        <w:rPr>
          <w:color w:val="000000"/>
        </w:rPr>
        <w:t xml:space="preserve"> могут препятствовать проникновению </w:t>
      </w:r>
      <w:r w:rsidR="00C827DF">
        <w:rPr>
          <w:color w:val="000000"/>
        </w:rPr>
        <w:t xml:space="preserve">препарата </w:t>
      </w:r>
      <w:r w:rsidRPr="00222496">
        <w:rPr>
          <w:color w:val="000000"/>
        </w:rPr>
        <w:t xml:space="preserve">в гидрофобные </w:t>
      </w:r>
      <w:r w:rsidR="00C827DF">
        <w:rPr>
          <w:color w:val="000000"/>
        </w:rPr>
        <w:t>карманы</w:t>
      </w:r>
      <w:r w:rsidR="00C827DF" w:rsidRPr="00222496">
        <w:rPr>
          <w:color w:val="000000"/>
        </w:rPr>
        <w:t xml:space="preserve"> </w:t>
      </w:r>
      <w:r w:rsidRPr="00222496">
        <w:rPr>
          <w:color w:val="000000"/>
        </w:rPr>
        <w:t xml:space="preserve">альбумина, что приводит к предпочтительному взаимодействию с поверхностью </w:t>
      </w:r>
      <w:r w:rsidR="00C827DF">
        <w:rPr>
          <w:color w:val="000000"/>
        </w:rPr>
        <w:t xml:space="preserve">белка </w:t>
      </w:r>
      <w:r w:rsidRPr="00222496">
        <w:rPr>
          <w:color w:val="000000"/>
        </w:rPr>
        <w:t xml:space="preserve">за счет сил Ван-дер-Ваальса и образования водородных связей. </w:t>
      </w:r>
      <w:proofErr w:type="spellStart"/>
      <w:r w:rsidRPr="00222496">
        <w:rPr>
          <w:color w:val="000000"/>
        </w:rPr>
        <w:t>Графтирование</w:t>
      </w:r>
      <w:proofErr w:type="spellEnd"/>
      <w:r w:rsidRPr="00222496">
        <w:rPr>
          <w:color w:val="000000"/>
        </w:rPr>
        <w:t xml:space="preserve"> альбумина </w:t>
      </w:r>
      <w:r w:rsidR="00C827DF">
        <w:rPr>
          <w:color w:val="000000"/>
        </w:rPr>
        <w:t xml:space="preserve">молекулами </w:t>
      </w:r>
      <w:r w:rsidRPr="00222496">
        <w:rPr>
          <w:color w:val="000000"/>
        </w:rPr>
        <w:t xml:space="preserve">ЦД дополнительно увеличивает снижение константы связывания. Например, взаимодействие ЛФ с ЧСА−ЦД характеризуется константой связывания, которая в 10 раз меньше по сравнению с </w:t>
      </w:r>
      <w:proofErr w:type="spellStart"/>
      <w:r w:rsidRPr="00222496">
        <w:rPr>
          <w:color w:val="000000"/>
        </w:rPr>
        <w:t>немодифицированным</w:t>
      </w:r>
      <w:proofErr w:type="spellEnd"/>
      <w:r w:rsidRPr="00222496">
        <w:rPr>
          <w:color w:val="000000"/>
        </w:rPr>
        <w:t xml:space="preserve"> ЧСА.</w:t>
      </w:r>
    </w:p>
    <w:p w14:paraId="74CE9D00" w14:textId="77777777" w:rsidR="003A121D" w:rsidRPr="003A121D" w:rsidRDefault="003A121D" w:rsidP="003A121D">
      <w:pPr>
        <w:jc w:val="both"/>
        <w:rPr>
          <w:sz w:val="22"/>
          <w:szCs w:val="22"/>
        </w:rPr>
      </w:pPr>
      <w:r w:rsidRPr="003A121D">
        <w:rPr>
          <w:sz w:val="22"/>
          <w:szCs w:val="22"/>
        </w:rPr>
        <w:t>Таблица 1. Термодинамические параметры взаимодействия сывороточного альбумина человека с левофлоксацином, рН 7.4, 37℃ (Р = 0.95, n = 4, r = 0.999)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421"/>
        <w:gridCol w:w="1421"/>
        <w:gridCol w:w="1420"/>
        <w:gridCol w:w="1420"/>
        <w:gridCol w:w="1420"/>
      </w:tblGrid>
      <w:tr w:rsidR="003A121D" w14:paraId="57BEDBF6" w14:textId="77777777" w:rsidTr="00930EA8">
        <w:trPr>
          <w:trHeight w:val="20"/>
        </w:trPr>
        <w:tc>
          <w:tcPr>
            <w:tcW w:w="1129" w:type="pct"/>
            <w:shd w:val="clear" w:color="auto" w:fill="auto"/>
            <w:vAlign w:val="center"/>
          </w:tcPr>
          <w:p w14:paraId="3569FD71" w14:textId="77777777" w:rsidR="003A121D" w:rsidRDefault="003A121D" w:rsidP="003A121D">
            <w:pPr>
              <w:rPr>
                <w:sz w:val="22"/>
                <w:szCs w:val="22"/>
              </w:rPr>
            </w:pPr>
          </w:p>
        </w:tc>
        <w:tc>
          <w:tcPr>
            <w:tcW w:w="774" w:type="pct"/>
            <w:shd w:val="clear" w:color="auto" w:fill="auto"/>
            <w:vAlign w:val="center"/>
          </w:tcPr>
          <w:p w14:paraId="3E2C9604" w14:textId="77777777" w:rsidR="003A121D" w:rsidRDefault="003A121D" w:rsidP="003A121D">
            <w:pPr>
              <w:jc w:val="center"/>
              <w:rPr>
                <w:i/>
                <w:iCs/>
                <w:sz w:val="22"/>
                <w:szCs w:val="22"/>
              </w:rPr>
            </w:pPr>
            <w:r>
              <w:rPr>
                <w:i/>
                <w:iCs/>
                <w:sz w:val="22"/>
                <w:szCs w:val="22"/>
              </w:rPr>
              <w:t>n</w:t>
            </w:r>
          </w:p>
        </w:tc>
        <w:tc>
          <w:tcPr>
            <w:tcW w:w="774" w:type="pct"/>
            <w:shd w:val="clear" w:color="auto" w:fill="auto"/>
            <w:vAlign w:val="center"/>
          </w:tcPr>
          <w:p w14:paraId="4F83F99C" w14:textId="77777777" w:rsidR="003A121D" w:rsidRDefault="003A121D" w:rsidP="003A121D">
            <w:pPr>
              <w:jc w:val="center"/>
              <w:rPr>
                <w:sz w:val="22"/>
                <w:szCs w:val="22"/>
              </w:rPr>
            </w:pPr>
            <w:proofErr w:type="spellStart"/>
            <w:r>
              <w:rPr>
                <w:i/>
                <w:iCs/>
                <w:sz w:val="22"/>
                <w:szCs w:val="22"/>
              </w:rPr>
              <w:t>K</w:t>
            </w:r>
            <w:r>
              <w:rPr>
                <w:sz w:val="22"/>
                <w:szCs w:val="22"/>
                <w:vertAlign w:val="subscript"/>
              </w:rPr>
              <w:t>a</w:t>
            </w:r>
            <w:proofErr w:type="spellEnd"/>
            <w:r>
              <w:rPr>
                <w:sz w:val="22"/>
                <w:szCs w:val="22"/>
              </w:rPr>
              <w:t>, 10</w:t>
            </w:r>
            <w:r>
              <w:rPr>
                <w:sz w:val="22"/>
                <w:szCs w:val="22"/>
                <w:vertAlign w:val="superscript"/>
              </w:rPr>
              <w:t>5</w:t>
            </w:r>
            <w:r>
              <w:rPr>
                <w:sz w:val="22"/>
                <w:szCs w:val="22"/>
              </w:rPr>
              <w:t xml:space="preserve"> М</w:t>
            </w:r>
            <w:r>
              <w:rPr>
                <w:sz w:val="22"/>
                <w:szCs w:val="22"/>
                <w:vertAlign w:val="superscript"/>
              </w:rPr>
              <w:t>−1</w:t>
            </w:r>
          </w:p>
        </w:tc>
        <w:tc>
          <w:tcPr>
            <w:tcW w:w="774" w:type="pct"/>
            <w:shd w:val="clear" w:color="auto" w:fill="auto"/>
            <w:vAlign w:val="center"/>
          </w:tcPr>
          <w:p w14:paraId="150BAD91" w14:textId="77777777" w:rsidR="003A121D" w:rsidRDefault="003A121D" w:rsidP="003A121D">
            <w:pPr>
              <w:jc w:val="center"/>
              <w:rPr>
                <w:sz w:val="22"/>
                <w:szCs w:val="22"/>
              </w:rPr>
            </w:pPr>
            <w:proofErr w:type="spellStart"/>
            <w:r>
              <w:rPr>
                <w:sz w:val="22"/>
                <w:szCs w:val="22"/>
              </w:rPr>
              <w:t>Δ</w:t>
            </w:r>
            <w:r>
              <w:rPr>
                <w:i/>
                <w:iCs/>
                <w:sz w:val="22"/>
                <w:szCs w:val="22"/>
              </w:rPr>
              <w:t>G</w:t>
            </w:r>
            <w:proofErr w:type="spellEnd"/>
            <w:r>
              <w:rPr>
                <w:sz w:val="22"/>
                <w:szCs w:val="22"/>
              </w:rPr>
              <w:t>, кДж/моль</w:t>
            </w:r>
          </w:p>
        </w:tc>
        <w:tc>
          <w:tcPr>
            <w:tcW w:w="774" w:type="pct"/>
            <w:shd w:val="clear" w:color="auto" w:fill="auto"/>
            <w:vAlign w:val="center"/>
          </w:tcPr>
          <w:p w14:paraId="7C0E499F" w14:textId="77777777" w:rsidR="003A121D" w:rsidRDefault="003A121D" w:rsidP="003A121D">
            <w:pPr>
              <w:jc w:val="center"/>
              <w:rPr>
                <w:sz w:val="22"/>
                <w:szCs w:val="22"/>
              </w:rPr>
            </w:pPr>
            <w:proofErr w:type="spellStart"/>
            <w:r>
              <w:rPr>
                <w:sz w:val="22"/>
                <w:szCs w:val="22"/>
              </w:rPr>
              <w:t>Δ</w:t>
            </w:r>
            <w:r>
              <w:rPr>
                <w:i/>
                <w:iCs/>
                <w:sz w:val="22"/>
                <w:szCs w:val="22"/>
              </w:rPr>
              <w:t>H</w:t>
            </w:r>
            <w:proofErr w:type="spellEnd"/>
            <w:r>
              <w:rPr>
                <w:sz w:val="22"/>
                <w:szCs w:val="22"/>
              </w:rPr>
              <w:t>, кДж/моль</w:t>
            </w:r>
          </w:p>
        </w:tc>
        <w:tc>
          <w:tcPr>
            <w:tcW w:w="774" w:type="pct"/>
            <w:shd w:val="clear" w:color="auto" w:fill="auto"/>
            <w:vAlign w:val="center"/>
          </w:tcPr>
          <w:p w14:paraId="4B2B5092" w14:textId="77777777" w:rsidR="003A121D" w:rsidRDefault="003A121D" w:rsidP="003A121D">
            <w:pPr>
              <w:jc w:val="center"/>
              <w:rPr>
                <w:sz w:val="22"/>
                <w:szCs w:val="22"/>
              </w:rPr>
            </w:pPr>
            <w:proofErr w:type="spellStart"/>
            <w:r>
              <w:rPr>
                <w:sz w:val="22"/>
                <w:szCs w:val="22"/>
              </w:rPr>
              <w:t>Δ</w:t>
            </w:r>
            <w:r>
              <w:rPr>
                <w:i/>
                <w:iCs/>
                <w:sz w:val="22"/>
                <w:szCs w:val="22"/>
              </w:rPr>
              <w:t>S</w:t>
            </w:r>
            <w:proofErr w:type="spellEnd"/>
            <w:r>
              <w:rPr>
                <w:sz w:val="22"/>
                <w:szCs w:val="22"/>
              </w:rPr>
              <w:t>, Дж/моль/K</w:t>
            </w:r>
          </w:p>
        </w:tc>
      </w:tr>
      <w:tr w:rsidR="003A121D" w14:paraId="40A84355" w14:textId="77777777" w:rsidTr="00930EA8">
        <w:trPr>
          <w:trHeight w:val="20"/>
        </w:trPr>
        <w:tc>
          <w:tcPr>
            <w:tcW w:w="1129" w:type="pct"/>
            <w:shd w:val="clear" w:color="auto" w:fill="auto"/>
            <w:vAlign w:val="center"/>
          </w:tcPr>
          <w:p w14:paraId="50094DEC" w14:textId="77777777" w:rsidR="003A121D" w:rsidRDefault="003A121D" w:rsidP="00645B36">
            <w:pPr>
              <w:jc w:val="center"/>
              <w:rPr>
                <w:sz w:val="22"/>
                <w:szCs w:val="22"/>
              </w:rPr>
            </w:pPr>
            <w:proofErr w:type="spellStart"/>
            <w:r>
              <w:rPr>
                <w:sz w:val="22"/>
                <w:szCs w:val="22"/>
              </w:rPr>
              <w:t>ЧСА+ЛФ</w:t>
            </w:r>
            <w:proofErr w:type="spellEnd"/>
          </w:p>
        </w:tc>
        <w:tc>
          <w:tcPr>
            <w:tcW w:w="774" w:type="pct"/>
            <w:shd w:val="clear" w:color="auto" w:fill="auto"/>
            <w:vAlign w:val="center"/>
          </w:tcPr>
          <w:p w14:paraId="0FFF439C" w14:textId="77777777" w:rsidR="003A121D" w:rsidRDefault="003A121D" w:rsidP="00645B36">
            <w:pPr>
              <w:jc w:val="center"/>
              <w:rPr>
                <w:sz w:val="22"/>
                <w:szCs w:val="22"/>
              </w:rPr>
            </w:pPr>
            <w:r>
              <w:rPr>
                <w:sz w:val="22"/>
                <w:szCs w:val="22"/>
              </w:rPr>
              <w:t>1.33 ± 0.05</w:t>
            </w:r>
          </w:p>
        </w:tc>
        <w:tc>
          <w:tcPr>
            <w:tcW w:w="774" w:type="pct"/>
            <w:shd w:val="clear" w:color="auto" w:fill="auto"/>
            <w:vAlign w:val="center"/>
          </w:tcPr>
          <w:p w14:paraId="4ED1683A" w14:textId="77777777" w:rsidR="003A121D" w:rsidRDefault="003A121D" w:rsidP="00645B36">
            <w:pPr>
              <w:jc w:val="center"/>
              <w:rPr>
                <w:sz w:val="22"/>
                <w:szCs w:val="22"/>
              </w:rPr>
            </w:pPr>
            <w:r>
              <w:rPr>
                <w:sz w:val="22"/>
                <w:szCs w:val="22"/>
              </w:rPr>
              <w:t>9.9 ± 0.2</w:t>
            </w:r>
          </w:p>
        </w:tc>
        <w:tc>
          <w:tcPr>
            <w:tcW w:w="774" w:type="pct"/>
            <w:shd w:val="clear" w:color="auto" w:fill="auto"/>
            <w:vAlign w:val="center"/>
          </w:tcPr>
          <w:p w14:paraId="52984785" w14:textId="77777777" w:rsidR="003A121D" w:rsidRDefault="003A121D" w:rsidP="00645B36">
            <w:pPr>
              <w:jc w:val="center"/>
              <w:rPr>
                <w:sz w:val="22"/>
                <w:szCs w:val="22"/>
              </w:rPr>
            </w:pPr>
            <w:r>
              <w:rPr>
                <w:sz w:val="22"/>
                <w:szCs w:val="22"/>
              </w:rPr>
              <w:t>−35.6 ± 0.1</w:t>
            </w:r>
          </w:p>
        </w:tc>
        <w:tc>
          <w:tcPr>
            <w:tcW w:w="774" w:type="pct"/>
            <w:shd w:val="clear" w:color="auto" w:fill="auto"/>
            <w:vAlign w:val="center"/>
          </w:tcPr>
          <w:p w14:paraId="36FC99FA" w14:textId="77777777" w:rsidR="003A121D" w:rsidRDefault="003A121D" w:rsidP="00645B36">
            <w:pPr>
              <w:jc w:val="center"/>
              <w:rPr>
                <w:sz w:val="22"/>
                <w:szCs w:val="22"/>
              </w:rPr>
            </w:pPr>
            <w:r>
              <w:rPr>
                <w:sz w:val="22"/>
                <w:szCs w:val="22"/>
              </w:rPr>
              <w:t>−57.7 ± 0.8</w:t>
            </w:r>
          </w:p>
        </w:tc>
        <w:tc>
          <w:tcPr>
            <w:tcW w:w="774" w:type="pct"/>
            <w:shd w:val="clear" w:color="auto" w:fill="auto"/>
            <w:vAlign w:val="center"/>
          </w:tcPr>
          <w:p w14:paraId="13ABCB70" w14:textId="77777777" w:rsidR="003A121D" w:rsidRDefault="003A121D" w:rsidP="00645B36">
            <w:pPr>
              <w:jc w:val="center"/>
              <w:rPr>
                <w:sz w:val="22"/>
                <w:szCs w:val="22"/>
              </w:rPr>
            </w:pPr>
            <w:r>
              <w:rPr>
                <w:sz w:val="22"/>
                <w:szCs w:val="22"/>
              </w:rPr>
              <w:t>−71 ± 2</w:t>
            </w:r>
          </w:p>
        </w:tc>
      </w:tr>
      <w:tr w:rsidR="003A121D" w14:paraId="56AB9E9E" w14:textId="77777777" w:rsidTr="00930EA8">
        <w:trPr>
          <w:trHeight w:val="20"/>
        </w:trPr>
        <w:tc>
          <w:tcPr>
            <w:tcW w:w="1129" w:type="pct"/>
            <w:shd w:val="clear" w:color="auto" w:fill="auto"/>
            <w:vAlign w:val="center"/>
          </w:tcPr>
          <w:p w14:paraId="122BDDD6" w14:textId="47132B15" w:rsidR="003A121D" w:rsidRDefault="003A121D" w:rsidP="00645B36">
            <w:pPr>
              <w:jc w:val="center"/>
              <w:rPr>
                <w:sz w:val="22"/>
                <w:szCs w:val="22"/>
              </w:rPr>
            </w:pPr>
            <w:r>
              <w:rPr>
                <w:sz w:val="22"/>
                <w:szCs w:val="22"/>
              </w:rPr>
              <w:t>ЧСА+(</w:t>
            </w:r>
            <w:proofErr w:type="spellStart"/>
            <w:r>
              <w:rPr>
                <w:sz w:val="22"/>
                <w:szCs w:val="22"/>
              </w:rPr>
              <w:t>ЛФ+ЦД</w:t>
            </w:r>
            <w:proofErr w:type="spellEnd"/>
            <w:r>
              <w:rPr>
                <w:sz w:val="22"/>
                <w:szCs w:val="22"/>
              </w:rPr>
              <w:t>)</w:t>
            </w:r>
          </w:p>
        </w:tc>
        <w:tc>
          <w:tcPr>
            <w:tcW w:w="774" w:type="pct"/>
            <w:shd w:val="clear" w:color="auto" w:fill="auto"/>
            <w:vAlign w:val="center"/>
          </w:tcPr>
          <w:p w14:paraId="37EA18EF" w14:textId="77777777" w:rsidR="003A121D" w:rsidRDefault="003A121D" w:rsidP="00645B36">
            <w:pPr>
              <w:jc w:val="center"/>
              <w:rPr>
                <w:sz w:val="22"/>
                <w:szCs w:val="22"/>
              </w:rPr>
            </w:pPr>
            <w:r>
              <w:rPr>
                <w:sz w:val="22"/>
                <w:szCs w:val="22"/>
              </w:rPr>
              <w:t>1.24 ± 0.03</w:t>
            </w:r>
          </w:p>
        </w:tc>
        <w:tc>
          <w:tcPr>
            <w:tcW w:w="774" w:type="pct"/>
            <w:shd w:val="clear" w:color="auto" w:fill="auto"/>
            <w:vAlign w:val="center"/>
          </w:tcPr>
          <w:p w14:paraId="2ACB5986" w14:textId="77777777" w:rsidR="003A121D" w:rsidRDefault="003A121D" w:rsidP="00645B36">
            <w:pPr>
              <w:jc w:val="center"/>
              <w:rPr>
                <w:sz w:val="22"/>
                <w:szCs w:val="22"/>
              </w:rPr>
            </w:pPr>
            <w:r>
              <w:rPr>
                <w:sz w:val="22"/>
                <w:szCs w:val="22"/>
              </w:rPr>
              <w:t>3.5 ± 0.5</w:t>
            </w:r>
          </w:p>
        </w:tc>
        <w:tc>
          <w:tcPr>
            <w:tcW w:w="774" w:type="pct"/>
            <w:shd w:val="clear" w:color="auto" w:fill="auto"/>
            <w:vAlign w:val="center"/>
          </w:tcPr>
          <w:p w14:paraId="56363535" w14:textId="77777777" w:rsidR="003A121D" w:rsidRDefault="003A121D" w:rsidP="00645B36">
            <w:pPr>
              <w:jc w:val="center"/>
              <w:rPr>
                <w:sz w:val="22"/>
                <w:szCs w:val="22"/>
              </w:rPr>
            </w:pPr>
            <w:r>
              <w:rPr>
                <w:sz w:val="22"/>
                <w:szCs w:val="22"/>
              </w:rPr>
              <w:t>−32.9 ± 0.3</w:t>
            </w:r>
          </w:p>
        </w:tc>
        <w:tc>
          <w:tcPr>
            <w:tcW w:w="774" w:type="pct"/>
            <w:shd w:val="clear" w:color="auto" w:fill="auto"/>
            <w:vAlign w:val="center"/>
          </w:tcPr>
          <w:p w14:paraId="78A40FB0" w14:textId="77777777" w:rsidR="003A121D" w:rsidRDefault="003A121D" w:rsidP="00645B36">
            <w:pPr>
              <w:jc w:val="center"/>
              <w:rPr>
                <w:sz w:val="22"/>
                <w:szCs w:val="22"/>
              </w:rPr>
            </w:pPr>
            <w:r>
              <w:rPr>
                <w:sz w:val="22"/>
                <w:szCs w:val="22"/>
              </w:rPr>
              <w:t>−217.6 ± 1.4</w:t>
            </w:r>
          </w:p>
        </w:tc>
        <w:tc>
          <w:tcPr>
            <w:tcW w:w="774" w:type="pct"/>
            <w:shd w:val="clear" w:color="auto" w:fill="auto"/>
            <w:vAlign w:val="center"/>
          </w:tcPr>
          <w:p w14:paraId="48FAC02F" w14:textId="77777777" w:rsidR="003A121D" w:rsidRDefault="003A121D" w:rsidP="00645B36">
            <w:pPr>
              <w:jc w:val="center"/>
              <w:rPr>
                <w:sz w:val="22"/>
                <w:szCs w:val="22"/>
              </w:rPr>
            </w:pPr>
            <w:r>
              <w:rPr>
                <w:sz w:val="22"/>
                <w:szCs w:val="22"/>
              </w:rPr>
              <w:t>−596 ± 4</w:t>
            </w:r>
          </w:p>
        </w:tc>
      </w:tr>
      <w:tr w:rsidR="003A121D" w14:paraId="2A0A96F4" w14:textId="77777777" w:rsidTr="00930EA8">
        <w:trPr>
          <w:trHeight w:val="20"/>
        </w:trPr>
        <w:tc>
          <w:tcPr>
            <w:tcW w:w="1129" w:type="pct"/>
            <w:shd w:val="clear" w:color="auto" w:fill="auto"/>
            <w:vAlign w:val="center"/>
          </w:tcPr>
          <w:p w14:paraId="10F1018C" w14:textId="23EFD800" w:rsidR="003A121D" w:rsidRDefault="003A121D" w:rsidP="00645B36">
            <w:pPr>
              <w:jc w:val="center"/>
              <w:rPr>
                <w:sz w:val="22"/>
                <w:szCs w:val="22"/>
              </w:rPr>
            </w:pPr>
            <w:r>
              <w:rPr>
                <w:sz w:val="22"/>
                <w:szCs w:val="22"/>
              </w:rPr>
              <w:t>(ЧСА−ЦД)+ЛФ</w:t>
            </w:r>
          </w:p>
        </w:tc>
        <w:tc>
          <w:tcPr>
            <w:tcW w:w="774" w:type="pct"/>
            <w:shd w:val="clear" w:color="auto" w:fill="auto"/>
            <w:vAlign w:val="center"/>
          </w:tcPr>
          <w:p w14:paraId="08D50BCA" w14:textId="77777777" w:rsidR="003A121D" w:rsidRDefault="003A121D" w:rsidP="00645B36">
            <w:pPr>
              <w:jc w:val="center"/>
              <w:rPr>
                <w:sz w:val="22"/>
                <w:szCs w:val="22"/>
              </w:rPr>
            </w:pPr>
            <w:r>
              <w:rPr>
                <w:sz w:val="22"/>
                <w:szCs w:val="22"/>
              </w:rPr>
              <w:t>1.12 ± 0.01</w:t>
            </w:r>
          </w:p>
        </w:tc>
        <w:tc>
          <w:tcPr>
            <w:tcW w:w="774" w:type="pct"/>
            <w:shd w:val="clear" w:color="auto" w:fill="auto"/>
            <w:vAlign w:val="center"/>
          </w:tcPr>
          <w:p w14:paraId="7031F323" w14:textId="77777777" w:rsidR="003A121D" w:rsidRDefault="003A121D" w:rsidP="00645B36">
            <w:pPr>
              <w:jc w:val="center"/>
              <w:rPr>
                <w:sz w:val="22"/>
                <w:szCs w:val="22"/>
              </w:rPr>
            </w:pPr>
            <w:r>
              <w:rPr>
                <w:sz w:val="22"/>
                <w:szCs w:val="22"/>
              </w:rPr>
              <w:t>0.9 ± 0.1</w:t>
            </w:r>
          </w:p>
        </w:tc>
        <w:tc>
          <w:tcPr>
            <w:tcW w:w="774" w:type="pct"/>
            <w:shd w:val="clear" w:color="auto" w:fill="auto"/>
            <w:vAlign w:val="center"/>
          </w:tcPr>
          <w:p w14:paraId="47496CBE" w14:textId="77777777" w:rsidR="003A121D" w:rsidRDefault="003A121D" w:rsidP="00645B36">
            <w:pPr>
              <w:jc w:val="center"/>
              <w:rPr>
                <w:sz w:val="22"/>
                <w:szCs w:val="22"/>
              </w:rPr>
            </w:pPr>
            <w:r>
              <w:rPr>
                <w:sz w:val="22"/>
                <w:szCs w:val="22"/>
              </w:rPr>
              <w:t>−29.4 ± 0.1</w:t>
            </w:r>
          </w:p>
        </w:tc>
        <w:tc>
          <w:tcPr>
            <w:tcW w:w="774" w:type="pct"/>
            <w:shd w:val="clear" w:color="auto" w:fill="auto"/>
            <w:vAlign w:val="center"/>
          </w:tcPr>
          <w:p w14:paraId="66DD8592" w14:textId="77777777" w:rsidR="003A121D" w:rsidRDefault="003A121D" w:rsidP="00645B36">
            <w:pPr>
              <w:jc w:val="center"/>
              <w:rPr>
                <w:sz w:val="22"/>
                <w:szCs w:val="22"/>
              </w:rPr>
            </w:pPr>
            <w:r>
              <w:rPr>
                <w:sz w:val="22"/>
                <w:szCs w:val="22"/>
              </w:rPr>
              <w:t>−187 ± 7</w:t>
            </w:r>
          </w:p>
        </w:tc>
        <w:tc>
          <w:tcPr>
            <w:tcW w:w="774" w:type="pct"/>
            <w:shd w:val="clear" w:color="auto" w:fill="auto"/>
            <w:vAlign w:val="center"/>
          </w:tcPr>
          <w:p w14:paraId="5B5A15FE" w14:textId="77777777" w:rsidR="003A121D" w:rsidRDefault="003A121D" w:rsidP="00645B36">
            <w:pPr>
              <w:jc w:val="center"/>
              <w:rPr>
                <w:sz w:val="22"/>
                <w:szCs w:val="22"/>
              </w:rPr>
            </w:pPr>
            <w:r>
              <w:rPr>
                <w:sz w:val="22"/>
                <w:szCs w:val="22"/>
              </w:rPr>
              <w:t>−510 ± 20</w:t>
            </w:r>
          </w:p>
        </w:tc>
      </w:tr>
      <w:tr w:rsidR="003A121D" w14:paraId="7818CEA7" w14:textId="77777777" w:rsidTr="00930EA8">
        <w:trPr>
          <w:trHeight w:val="20"/>
        </w:trPr>
        <w:tc>
          <w:tcPr>
            <w:tcW w:w="1129" w:type="pct"/>
            <w:shd w:val="clear" w:color="auto" w:fill="auto"/>
            <w:vAlign w:val="center"/>
          </w:tcPr>
          <w:p w14:paraId="734DD4C5" w14:textId="3C60DDFE" w:rsidR="003A121D" w:rsidRDefault="003A121D" w:rsidP="00645B36">
            <w:pPr>
              <w:jc w:val="center"/>
              <w:rPr>
                <w:sz w:val="22"/>
                <w:szCs w:val="22"/>
              </w:rPr>
            </w:pPr>
            <w:r>
              <w:rPr>
                <w:sz w:val="22"/>
                <w:szCs w:val="22"/>
              </w:rPr>
              <w:t>(ЧСА−</w:t>
            </w:r>
            <w:proofErr w:type="spellStart"/>
            <w:r>
              <w:rPr>
                <w:sz w:val="22"/>
                <w:szCs w:val="22"/>
              </w:rPr>
              <w:t>ПолЦД</w:t>
            </w:r>
            <w:proofErr w:type="spellEnd"/>
            <w:r>
              <w:rPr>
                <w:sz w:val="22"/>
                <w:szCs w:val="22"/>
              </w:rPr>
              <w:t>)+ЛФ</w:t>
            </w:r>
          </w:p>
        </w:tc>
        <w:tc>
          <w:tcPr>
            <w:tcW w:w="774" w:type="pct"/>
            <w:shd w:val="clear" w:color="auto" w:fill="auto"/>
            <w:vAlign w:val="center"/>
          </w:tcPr>
          <w:p w14:paraId="0BE88A5F" w14:textId="77777777" w:rsidR="003A121D" w:rsidRDefault="003A121D" w:rsidP="00645B36">
            <w:pPr>
              <w:jc w:val="center"/>
              <w:rPr>
                <w:sz w:val="22"/>
                <w:szCs w:val="22"/>
              </w:rPr>
            </w:pPr>
            <w:r>
              <w:rPr>
                <w:sz w:val="22"/>
                <w:szCs w:val="22"/>
              </w:rPr>
              <w:t>1.01 ± 0.04</w:t>
            </w:r>
          </w:p>
        </w:tc>
        <w:tc>
          <w:tcPr>
            <w:tcW w:w="774" w:type="pct"/>
            <w:shd w:val="clear" w:color="auto" w:fill="auto"/>
            <w:vAlign w:val="center"/>
          </w:tcPr>
          <w:p w14:paraId="73111B47" w14:textId="77777777" w:rsidR="003A121D" w:rsidRDefault="003A121D" w:rsidP="00645B36">
            <w:pPr>
              <w:jc w:val="center"/>
              <w:rPr>
                <w:sz w:val="22"/>
                <w:szCs w:val="22"/>
              </w:rPr>
            </w:pPr>
            <w:r>
              <w:rPr>
                <w:sz w:val="22"/>
                <w:szCs w:val="22"/>
              </w:rPr>
              <w:t>0.31 ± 0.13</w:t>
            </w:r>
          </w:p>
        </w:tc>
        <w:tc>
          <w:tcPr>
            <w:tcW w:w="774" w:type="pct"/>
            <w:shd w:val="clear" w:color="auto" w:fill="auto"/>
            <w:vAlign w:val="center"/>
          </w:tcPr>
          <w:p w14:paraId="7250588B" w14:textId="77777777" w:rsidR="003A121D" w:rsidRDefault="003A121D" w:rsidP="00645B36">
            <w:pPr>
              <w:jc w:val="center"/>
              <w:rPr>
                <w:sz w:val="22"/>
                <w:szCs w:val="22"/>
              </w:rPr>
            </w:pPr>
            <w:r>
              <w:rPr>
                <w:sz w:val="22"/>
                <w:szCs w:val="22"/>
              </w:rPr>
              <w:t>−26.68 ± 0.2</w:t>
            </w:r>
          </w:p>
        </w:tc>
        <w:tc>
          <w:tcPr>
            <w:tcW w:w="774" w:type="pct"/>
            <w:shd w:val="clear" w:color="auto" w:fill="auto"/>
            <w:vAlign w:val="center"/>
          </w:tcPr>
          <w:p w14:paraId="0F61C01D" w14:textId="77777777" w:rsidR="003A121D" w:rsidRDefault="003A121D" w:rsidP="00645B36">
            <w:pPr>
              <w:jc w:val="center"/>
              <w:rPr>
                <w:sz w:val="22"/>
                <w:szCs w:val="22"/>
              </w:rPr>
            </w:pPr>
            <w:r>
              <w:rPr>
                <w:sz w:val="22"/>
                <w:szCs w:val="22"/>
              </w:rPr>
              <w:t>−149 ± 8</w:t>
            </w:r>
          </w:p>
        </w:tc>
        <w:tc>
          <w:tcPr>
            <w:tcW w:w="774" w:type="pct"/>
            <w:shd w:val="clear" w:color="auto" w:fill="auto"/>
            <w:vAlign w:val="center"/>
          </w:tcPr>
          <w:p w14:paraId="3413D680" w14:textId="77777777" w:rsidR="003A121D" w:rsidRDefault="003A121D" w:rsidP="00645B36">
            <w:pPr>
              <w:jc w:val="center"/>
              <w:rPr>
                <w:sz w:val="22"/>
                <w:szCs w:val="22"/>
              </w:rPr>
            </w:pPr>
            <w:r>
              <w:rPr>
                <w:sz w:val="22"/>
                <w:szCs w:val="22"/>
              </w:rPr>
              <w:t>−400 ± 20</w:t>
            </w:r>
          </w:p>
        </w:tc>
      </w:tr>
    </w:tbl>
    <w:p w14:paraId="39F7DC63" w14:textId="016F25A1" w:rsidR="003A121D" w:rsidRDefault="003A121D" w:rsidP="002264EE">
      <w:pPr>
        <w:pBdr>
          <w:top w:val="nil"/>
          <w:left w:val="nil"/>
          <w:bottom w:val="nil"/>
          <w:right w:val="nil"/>
          <w:between w:val="nil"/>
        </w:pBdr>
        <w:shd w:val="clear" w:color="auto" w:fill="FFFFFF"/>
        <w:ind w:firstLine="397"/>
        <w:jc w:val="both"/>
        <w:rPr>
          <w:color w:val="000000"/>
        </w:rPr>
      </w:pPr>
      <w:r w:rsidRPr="003A121D">
        <w:rPr>
          <w:color w:val="000000"/>
        </w:rPr>
        <w:t>Эти результаты подчеркивают значимость исследования воздействия носителей, вроде циклодекстринов (ЦД), на взаимодействие лекарственных веществ с белками для разработки более эффективных систем доставки лекарств и их дальнейшего усовершенствования.</w:t>
      </w:r>
    </w:p>
    <w:p w14:paraId="327091F6" w14:textId="20033B73" w:rsidR="003A121D" w:rsidRDefault="003A121D" w:rsidP="002264EE">
      <w:pPr>
        <w:pBdr>
          <w:top w:val="nil"/>
          <w:left w:val="nil"/>
          <w:bottom w:val="nil"/>
          <w:right w:val="nil"/>
          <w:between w:val="nil"/>
        </w:pBdr>
        <w:shd w:val="clear" w:color="auto" w:fill="FFFFFF"/>
        <w:ind w:firstLine="397"/>
        <w:jc w:val="both"/>
        <w:rPr>
          <w:i/>
          <w:iCs/>
          <w:color w:val="000000"/>
        </w:rPr>
      </w:pPr>
      <w:r w:rsidRPr="003A121D">
        <w:rPr>
          <w:i/>
          <w:iCs/>
          <w:color w:val="000000"/>
        </w:rPr>
        <w:t>Работа выполнена с использованием оборудования (</w:t>
      </w:r>
      <w:proofErr w:type="spellStart"/>
      <w:r w:rsidRPr="003A121D">
        <w:rPr>
          <w:i/>
          <w:iCs/>
          <w:color w:val="000000"/>
        </w:rPr>
        <w:t>FTIR</w:t>
      </w:r>
      <w:proofErr w:type="spellEnd"/>
      <w:r w:rsidRPr="003A121D">
        <w:rPr>
          <w:i/>
          <w:iCs/>
          <w:color w:val="000000"/>
        </w:rPr>
        <w:t xml:space="preserve">-спектрометр </w:t>
      </w:r>
      <w:proofErr w:type="spellStart"/>
      <w:r w:rsidRPr="003A121D">
        <w:rPr>
          <w:i/>
          <w:iCs/>
          <w:color w:val="000000"/>
        </w:rPr>
        <w:t>Bruker</w:t>
      </w:r>
      <w:proofErr w:type="spellEnd"/>
      <w:r w:rsidRPr="003A121D">
        <w:rPr>
          <w:i/>
          <w:iCs/>
          <w:color w:val="000000"/>
        </w:rPr>
        <w:t xml:space="preserve"> </w:t>
      </w:r>
      <w:proofErr w:type="spellStart"/>
      <w:r w:rsidRPr="003A121D">
        <w:rPr>
          <w:i/>
          <w:iCs/>
          <w:color w:val="000000"/>
        </w:rPr>
        <w:t>Tensor</w:t>
      </w:r>
      <w:proofErr w:type="spellEnd"/>
      <w:r w:rsidRPr="003A121D">
        <w:rPr>
          <w:i/>
          <w:iCs/>
          <w:color w:val="000000"/>
        </w:rPr>
        <w:t xml:space="preserve"> 27, </w:t>
      </w:r>
      <w:proofErr w:type="spellStart"/>
      <w:r w:rsidRPr="003A121D">
        <w:rPr>
          <w:i/>
          <w:iCs/>
          <w:color w:val="000000"/>
        </w:rPr>
        <w:t>CD</w:t>
      </w:r>
      <w:proofErr w:type="spellEnd"/>
      <w:r w:rsidRPr="003A121D">
        <w:rPr>
          <w:i/>
          <w:iCs/>
          <w:color w:val="000000"/>
        </w:rPr>
        <w:t xml:space="preserve">-спектрометр </w:t>
      </w:r>
      <w:proofErr w:type="spellStart"/>
      <w:r w:rsidRPr="003A121D">
        <w:rPr>
          <w:i/>
          <w:iCs/>
          <w:color w:val="000000"/>
        </w:rPr>
        <w:t>Jasco</w:t>
      </w:r>
      <w:proofErr w:type="spellEnd"/>
      <w:r w:rsidRPr="003A121D">
        <w:rPr>
          <w:i/>
          <w:iCs/>
          <w:color w:val="000000"/>
        </w:rPr>
        <w:t xml:space="preserve"> J-815, АСМ-микроскоп </w:t>
      </w:r>
      <w:proofErr w:type="spellStart"/>
      <w:r w:rsidRPr="003A121D">
        <w:rPr>
          <w:i/>
          <w:iCs/>
          <w:color w:val="000000"/>
        </w:rPr>
        <w:t>NTEGRA</w:t>
      </w:r>
      <w:proofErr w:type="spellEnd"/>
      <w:r w:rsidRPr="003A121D">
        <w:rPr>
          <w:i/>
          <w:iCs/>
          <w:color w:val="000000"/>
        </w:rPr>
        <w:t xml:space="preserve"> II) программы развития МГУ.</w:t>
      </w:r>
    </w:p>
    <w:p w14:paraId="482AF035" w14:textId="77777777" w:rsidR="003A121D" w:rsidRPr="000371E7" w:rsidRDefault="003A121D" w:rsidP="003A121D">
      <w:pPr>
        <w:jc w:val="center"/>
        <w:rPr>
          <w:b/>
          <w:lang w:val="en-US"/>
        </w:rPr>
      </w:pPr>
      <w:r w:rsidRPr="005B6E5F">
        <w:rPr>
          <w:b/>
        </w:rPr>
        <w:t>Литерат</w:t>
      </w:r>
      <w:r w:rsidRPr="00D1373A">
        <w:rPr>
          <w:b/>
        </w:rPr>
        <w:t>ура</w:t>
      </w:r>
    </w:p>
    <w:p w14:paraId="1A9EEBDD" w14:textId="70DDF9EF" w:rsidR="003A121D" w:rsidRPr="003A121D" w:rsidRDefault="003A121D" w:rsidP="004D0EC7">
      <w:pPr>
        <w:widowControl w:val="0"/>
        <w:autoSpaceDE w:val="0"/>
        <w:autoSpaceDN w:val="0"/>
        <w:adjustRightInd w:val="0"/>
        <w:ind w:left="640" w:hanging="640"/>
      </w:pPr>
      <w:r w:rsidRPr="003A121D">
        <w:rPr>
          <w:b/>
        </w:rPr>
        <w:fldChar w:fldCharType="begin" w:fldLock="1"/>
      </w:r>
      <w:r w:rsidRPr="003A121D">
        <w:rPr>
          <w:b/>
          <w:lang w:val="en-US"/>
        </w:rPr>
        <w:instrText xml:space="preserve">ADDIN Mendeley Bibliography CSL_BIBLIOGRAPHY </w:instrText>
      </w:r>
      <w:r w:rsidRPr="003A121D">
        <w:rPr>
          <w:b/>
        </w:rPr>
        <w:fldChar w:fldCharType="separate"/>
      </w:r>
      <w:r w:rsidR="004D0EC7" w:rsidRPr="004D0EC7">
        <w:rPr>
          <w:noProof/>
        </w:rPr>
        <w:t>1.</w:t>
      </w:r>
      <w:r w:rsidR="004D0EC7" w:rsidRPr="004D0EC7">
        <w:rPr>
          <w:noProof/>
        </w:rPr>
        <w:tab/>
      </w:r>
      <w:r w:rsidR="004D0EC7" w:rsidRPr="004D0EC7">
        <w:rPr>
          <w:i/>
          <w:iCs/>
          <w:noProof/>
        </w:rPr>
        <w:t>Fanali G. et al.</w:t>
      </w:r>
      <w:r w:rsidR="004D0EC7" w:rsidRPr="004D0EC7">
        <w:rPr>
          <w:noProof/>
        </w:rPr>
        <w:t xml:space="preserve"> // Mol. Aspects Med. Elsevier Ltd, 2012. Vol. 33, № 3. P. 209–290. </w:t>
      </w:r>
      <w:r w:rsidRPr="003A121D">
        <w:rPr>
          <w:b/>
        </w:rPr>
        <w:fldChar w:fldCharType="end"/>
      </w:r>
    </w:p>
    <w:sectPr w:rsidR="003A121D" w:rsidRPr="003A121D">
      <w:pgSz w:w="11906" w:h="16838"/>
      <w:pgMar w:top="1134" w:right="1361" w:bottom="1134" w:left="136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B226" w14:textId="77777777" w:rsidR="00210CD6" w:rsidRDefault="00210CD6" w:rsidP="000371E7">
      <w:r>
        <w:separator/>
      </w:r>
    </w:p>
  </w:endnote>
  <w:endnote w:type="continuationSeparator" w:id="0">
    <w:p w14:paraId="58713979" w14:textId="77777777" w:rsidR="00210CD6" w:rsidRDefault="00210CD6" w:rsidP="0003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92A9" w14:textId="77777777" w:rsidR="00210CD6" w:rsidRDefault="00210CD6" w:rsidP="000371E7">
      <w:r>
        <w:separator/>
      </w:r>
    </w:p>
  </w:footnote>
  <w:footnote w:type="continuationSeparator" w:id="0">
    <w:p w14:paraId="39B50791" w14:textId="77777777" w:rsidR="00210CD6" w:rsidRDefault="00210CD6" w:rsidP="00037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E061A"/>
    <w:multiLevelType w:val="hybridMultilevel"/>
    <w:tmpl w:val="B738604E"/>
    <w:lvl w:ilvl="0" w:tplc="ABA8CF2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0900778">
    <w:abstractNumId w:val="1"/>
  </w:num>
  <w:num w:numId="2" w16cid:durableId="138228918">
    <w:abstractNumId w:val="2"/>
  </w:num>
  <w:num w:numId="3" w16cid:durableId="130790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371E7"/>
    <w:rsid w:val="00063966"/>
    <w:rsid w:val="00086081"/>
    <w:rsid w:val="00101A1C"/>
    <w:rsid w:val="00103657"/>
    <w:rsid w:val="00106375"/>
    <w:rsid w:val="00116478"/>
    <w:rsid w:val="00130241"/>
    <w:rsid w:val="001E61C2"/>
    <w:rsid w:val="001F0493"/>
    <w:rsid w:val="00210CD6"/>
    <w:rsid w:val="00222496"/>
    <w:rsid w:val="002264EE"/>
    <w:rsid w:val="0023307C"/>
    <w:rsid w:val="002F77FE"/>
    <w:rsid w:val="0031361E"/>
    <w:rsid w:val="0038300E"/>
    <w:rsid w:val="00391C38"/>
    <w:rsid w:val="003A121D"/>
    <w:rsid w:val="003B76D6"/>
    <w:rsid w:val="004A26A3"/>
    <w:rsid w:val="004D0EC7"/>
    <w:rsid w:val="004F0EDF"/>
    <w:rsid w:val="00522BF1"/>
    <w:rsid w:val="00590166"/>
    <w:rsid w:val="005D022B"/>
    <w:rsid w:val="005E5BE9"/>
    <w:rsid w:val="0069427D"/>
    <w:rsid w:val="006F7A19"/>
    <w:rsid w:val="00711BF9"/>
    <w:rsid w:val="007213E1"/>
    <w:rsid w:val="00775389"/>
    <w:rsid w:val="00797838"/>
    <w:rsid w:val="007C36D8"/>
    <w:rsid w:val="007F2744"/>
    <w:rsid w:val="008931BE"/>
    <w:rsid w:val="008C67E3"/>
    <w:rsid w:val="00921D45"/>
    <w:rsid w:val="00930EA8"/>
    <w:rsid w:val="009A66DB"/>
    <w:rsid w:val="009B2F80"/>
    <w:rsid w:val="009B3300"/>
    <w:rsid w:val="009F3380"/>
    <w:rsid w:val="00A02163"/>
    <w:rsid w:val="00A314FE"/>
    <w:rsid w:val="00BF1432"/>
    <w:rsid w:val="00BF36F8"/>
    <w:rsid w:val="00BF4622"/>
    <w:rsid w:val="00C827DF"/>
    <w:rsid w:val="00CD00B1"/>
    <w:rsid w:val="00D22306"/>
    <w:rsid w:val="00D42542"/>
    <w:rsid w:val="00D8121C"/>
    <w:rsid w:val="00E22189"/>
    <w:rsid w:val="00E74069"/>
    <w:rsid w:val="00EB1F49"/>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 w:type="character" w:styleId="aa">
    <w:name w:val="annotation reference"/>
    <w:basedOn w:val="a0"/>
    <w:uiPriority w:val="99"/>
    <w:semiHidden/>
    <w:unhideWhenUsed/>
    <w:rsid w:val="00C827DF"/>
    <w:rPr>
      <w:sz w:val="16"/>
      <w:szCs w:val="16"/>
    </w:rPr>
  </w:style>
  <w:style w:type="paragraph" w:styleId="ab">
    <w:name w:val="annotation text"/>
    <w:basedOn w:val="a"/>
    <w:link w:val="ac"/>
    <w:uiPriority w:val="99"/>
    <w:semiHidden/>
    <w:unhideWhenUsed/>
    <w:rsid w:val="00C827DF"/>
    <w:rPr>
      <w:sz w:val="20"/>
      <w:szCs w:val="20"/>
    </w:rPr>
  </w:style>
  <w:style w:type="character" w:customStyle="1" w:styleId="ac">
    <w:name w:val="Текст примечания Знак"/>
    <w:basedOn w:val="a0"/>
    <w:link w:val="ab"/>
    <w:uiPriority w:val="99"/>
    <w:semiHidden/>
    <w:rsid w:val="00C827DF"/>
    <w:rPr>
      <w:rFonts w:ascii="Times New Roman" w:eastAsia="Times New Roman" w:hAnsi="Times New Roman" w:cs="Times New Roman"/>
    </w:rPr>
  </w:style>
  <w:style w:type="paragraph" w:styleId="ad">
    <w:name w:val="annotation subject"/>
    <w:basedOn w:val="ab"/>
    <w:next w:val="ab"/>
    <w:link w:val="ae"/>
    <w:uiPriority w:val="99"/>
    <w:semiHidden/>
    <w:unhideWhenUsed/>
    <w:rsid w:val="00C827DF"/>
    <w:rPr>
      <w:b/>
      <w:bCs/>
    </w:rPr>
  </w:style>
  <w:style w:type="character" w:customStyle="1" w:styleId="ae">
    <w:name w:val="Тема примечания Знак"/>
    <w:basedOn w:val="ac"/>
    <w:link w:val="ad"/>
    <w:uiPriority w:val="99"/>
    <w:semiHidden/>
    <w:rsid w:val="00C827DF"/>
    <w:rPr>
      <w:rFonts w:ascii="Times New Roman" w:eastAsia="Times New Roman" w:hAnsi="Times New Roman" w:cs="Times New Roman"/>
      <w:b/>
      <w:bCs/>
    </w:rPr>
  </w:style>
  <w:style w:type="paragraph" w:styleId="af">
    <w:name w:val="Balloon Text"/>
    <w:basedOn w:val="a"/>
    <w:link w:val="af0"/>
    <w:uiPriority w:val="99"/>
    <w:semiHidden/>
    <w:unhideWhenUsed/>
    <w:rsid w:val="00C827DF"/>
    <w:rPr>
      <w:rFonts w:ascii="Segoe UI" w:hAnsi="Segoe UI" w:cs="Segoe UI"/>
      <w:sz w:val="18"/>
      <w:szCs w:val="18"/>
    </w:rPr>
  </w:style>
  <w:style w:type="character" w:customStyle="1" w:styleId="af0">
    <w:name w:val="Текст выноски Знак"/>
    <w:basedOn w:val="a0"/>
    <w:link w:val="af"/>
    <w:uiPriority w:val="99"/>
    <w:semiHidden/>
    <w:rsid w:val="00C827DF"/>
    <w:rPr>
      <w:rFonts w:ascii="Segoe UI" w:eastAsia="Times New Roman" w:hAnsi="Segoe UI" w:cs="Segoe UI"/>
      <w:sz w:val="18"/>
      <w:szCs w:val="18"/>
    </w:rPr>
  </w:style>
  <w:style w:type="paragraph" w:styleId="af1">
    <w:name w:val="Revision"/>
    <w:hidden/>
    <w:uiPriority w:val="99"/>
    <w:semiHidden/>
    <w:rsid w:val="000371E7"/>
    <w:rPr>
      <w:rFonts w:ascii="Times New Roman" w:eastAsia="Times New Roman" w:hAnsi="Times New Roman" w:cs="Times New Roman"/>
      <w:sz w:val="24"/>
      <w:szCs w:val="24"/>
    </w:rPr>
  </w:style>
  <w:style w:type="paragraph" w:styleId="af2">
    <w:name w:val="header"/>
    <w:basedOn w:val="a"/>
    <w:link w:val="af3"/>
    <w:uiPriority w:val="99"/>
    <w:unhideWhenUsed/>
    <w:rsid w:val="000371E7"/>
    <w:pPr>
      <w:tabs>
        <w:tab w:val="center" w:pos="4677"/>
        <w:tab w:val="right" w:pos="9355"/>
      </w:tabs>
    </w:pPr>
  </w:style>
  <w:style w:type="character" w:customStyle="1" w:styleId="af3">
    <w:name w:val="Верхний колонтитул Знак"/>
    <w:basedOn w:val="a0"/>
    <w:link w:val="af2"/>
    <w:uiPriority w:val="99"/>
    <w:rsid w:val="000371E7"/>
    <w:rPr>
      <w:rFonts w:ascii="Times New Roman" w:eastAsia="Times New Roman" w:hAnsi="Times New Roman" w:cs="Times New Roman"/>
      <w:sz w:val="24"/>
      <w:szCs w:val="24"/>
    </w:rPr>
  </w:style>
  <w:style w:type="paragraph" w:styleId="af4">
    <w:name w:val="footer"/>
    <w:basedOn w:val="a"/>
    <w:link w:val="af5"/>
    <w:uiPriority w:val="99"/>
    <w:unhideWhenUsed/>
    <w:rsid w:val="000371E7"/>
    <w:pPr>
      <w:tabs>
        <w:tab w:val="center" w:pos="4677"/>
        <w:tab w:val="right" w:pos="9355"/>
      </w:tabs>
    </w:pPr>
  </w:style>
  <w:style w:type="character" w:customStyle="1" w:styleId="af5">
    <w:name w:val="Нижний колонтитул Знак"/>
    <w:basedOn w:val="a0"/>
    <w:link w:val="af4"/>
    <w:uiPriority w:val="99"/>
    <w:rsid w:val="000371E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0D262-1F26-4228-AA01-8DB7D693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994</Words>
  <Characters>5669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Tatiana Kopnova</cp:lastModifiedBy>
  <cp:revision>15</cp:revision>
  <dcterms:created xsi:type="dcterms:W3CDTF">2022-11-07T09:18:00Z</dcterms:created>
  <dcterms:modified xsi:type="dcterms:W3CDTF">2024-02-20T09:56:00Z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http://csl.mendeley.com/styles/584701271/bioorganic-chem</vt:lpwstr>
  </property>
  <property fmtid="{D5CDD505-2E9C-101B-9397-08002B2CF9AE}" pid="4" name="Mendeley Unique User Id_1">
    <vt:lpwstr>ab442f88-6736-32ce-952b-6a48740d51e8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http://csl.mendeley.com/styles/577331631/Applied-sciences-Linara-2023</vt:lpwstr>
  </property>
  <property fmtid="{D5CDD505-2E9C-101B-9397-08002B2CF9AE}" pid="12" name="Mendeley Recent Style Name 3_1">
    <vt:lpwstr>Applied sciences - Linara - 2023 - Линара Якупова</vt:lpwstr>
  </property>
  <property fmtid="{D5CDD505-2E9C-101B-9397-08002B2CF9AE}" pid="13" name="Mendeley Recent Style Id 4_1">
    <vt:lpwstr>https://csl.mendeley.com/styles/716319811/Chemistry2023Taty</vt:lpwstr>
  </property>
  <property fmtid="{D5CDD505-2E9C-101B-9397-08002B2CF9AE}" pid="14" name="Mendeley Recent Style Name 4_1">
    <vt:lpwstr>Applied sciences - Linara - 2023 - Линара Якупова - Tatiana Kopnova</vt:lpwstr>
  </property>
  <property fmtid="{D5CDD505-2E9C-101B-9397-08002B2CF9AE}" pid="15" name="Mendeley Recent Style Id 5_1">
    <vt:lpwstr>http://www.zotero.org/styles/bioorganic-chemistry</vt:lpwstr>
  </property>
  <property fmtid="{D5CDD505-2E9C-101B-9397-08002B2CF9AE}" pid="16" name="Mendeley Recent Style Name 5_1">
    <vt:lpwstr>Bioorganic Chemistry</vt:lpwstr>
  </property>
  <property fmtid="{D5CDD505-2E9C-101B-9397-08002B2CF9AE}" pid="17" name="Mendeley Recent Style Id 6_1">
    <vt:lpwstr>http://csl.mendeley.com/styles/716319811/biotechnology20231</vt:lpwstr>
  </property>
  <property fmtid="{D5CDD505-2E9C-101B-9397-08002B2CF9AE}" pid="18" name="Mendeley Recent Style Name 6_1">
    <vt:lpwstr>Biotechnogy - Татьяна Копнова - Tatiana Kopnova</vt:lpwstr>
  </property>
  <property fmtid="{D5CDD505-2E9C-101B-9397-08002B2CF9AE}" pid="19" name="Mendeley Recent Style Id 7_1">
    <vt:lpwstr>http://www.zotero.org/styles/chicago-author-date</vt:lpwstr>
  </property>
  <property fmtid="{D5CDD505-2E9C-101B-9397-08002B2CF9AE}" pid="20" name="Mendeley Recent Style Name 7_1">
    <vt:lpwstr>Chicago Manual of Style 17th edition (author-date)</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http://csl.mendeley.com/styles/584701271/bioorganic-chem</vt:lpwstr>
  </property>
  <property fmtid="{D5CDD505-2E9C-101B-9397-08002B2CF9AE}" pid="24" name="Mendeley Recent Style Name 9_1">
    <vt:lpwstr>Russian GOST R 7.0.5-2008 (numeric) - Татьяна Копнова</vt:lpwstr>
  </property>
</Properties>
</file>