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D3BE1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r>
        <w:rPr>
          <w:b/>
        </w:rPr>
        <w:t xml:space="preserve">Исследование контаминации растительных масел афлатоксином, </w:t>
      </w:r>
      <w:r>
        <w:rPr>
          <w:b/>
        </w:rPr>
        <w:br/>
      </w:r>
      <w:proofErr w:type="spellStart"/>
      <w:r>
        <w:rPr>
          <w:b/>
        </w:rPr>
        <w:t>альтернариолом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тенуазоновой</w:t>
      </w:r>
      <w:proofErr w:type="spellEnd"/>
      <w:r>
        <w:rPr>
          <w:b/>
        </w:rPr>
        <w:t xml:space="preserve"> кислотой</w:t>
      </w:r>
    </w:p>
    <w:p w14:paraId="00000002" w14:textId="77777777" w:rsidR="00FD3BE1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proofErr w:type="spellStart"/>
      <w:r>
        <w:rPr>
          <w:b/>
          <w:i/>
        </w:rPr>
        <w:t>Шыхалиева</w:t>
      </w:r>
      <w:proofErr w:type="spellEnd"/>
      <w:r>
        <w:rPr>
          <w:b/>
          <w:i/>
        </w:rPr>
        <w:t xml:space="preserve"> Ф.Д.</w:t>
      </w:r>
      <w:r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Мощева</w:t>
      </w:r>
      <w:proofErr w:type="spellEnd"/>
      <w:r>
        <w:rPr>
          <w:b/>
          <w:i/>
        </w:rPr>
        <w:t xml:space="preserve"> А.Г.</w:t>
      </w:r>
      <w:r>
        <w:rPr>
          <w:b/>
          <w:i/>
          <w:vertAlign w:val="superscript"/>
        </w:rPr>
        <w:t>2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Гальвидис</w:t>
      </w:r>
      <w:proofErr w:type="spellEnd"/>
      <w:r>
        <w:rPr>
          <w:b/>
          <w:i/>
        </w:rPr>
        <w:t xml:space="preserve"> И.А.</w:t>
      </w:r>
      <w:r>
        <w:rPr>
          <w:b/>
          <w:i/>
          <w:vertAlign w:val="superscript"/>
        </w:rPr>
        <w:t>2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Буркин</w:t>
      </w:r>
      <w:proofErr w:type="spellEnd"/>
      <w:r>
        <w:rPr>
          <w:b/>
          <w:i/>
        </w:rPr>
        <w:t xml:space="preserve"> М.А.</w:t>
      </w:r>
      <w:r>
        <w:rPr>
          <w:b/>
          <w:i/>
          <w:vertAlign w:val="superscript"/>
        </w:rPr>
        <w:t>2</w:t>
      </w:r>
    </w:p>
    <w:p w14:paraId="00000003" w14:textId="77777777" w:rsidR="00FD3BE1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</w:rPr>
      </w:pPr>
      <w:r>
        <w:rPr>
          <w:i/>
        </w:rPr>
        <w:t>Студентка, 4 курс бакалавриата</w:t>
      </w:r>
    </w:p>
    <w:p w14:paraId="00000004" w14:textId="77777777" w:rsidR="00FD3BE1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b/>
          <w:i/>
          <w:vertAlign w:val="superscript"/>
        </w:rPr>
        <w:t>1</w:t>
      </w:r>
      <w:r>
        <w:rPr>
          <w:i/>
        </w:rPr>
        <w:t>Институт тонких химических технологий имени М.В. Ломоносова, Москва, Россия</w:t>
      </w:r>
    </w:p>
    <w:p w14:paraId="00000005" w14:textId="77777777" w:rsidR="00FD3BE1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b/>
          <w:i/>
          <w:vertAlign w:val="superscript"/>
        </w:rPr>
        <w:t>2</w:t>
      </w:r>
      <w:r>
        <w:rPr>
          <w:i/>
        </w:rPr>
        <w:t xml:space="preserve">ФГБНУ НИИВС им. </w:t>
      </w:r>
      <w:proofErr w:type="spellStart"/>
      <w:r>
        <w:rPr>
          <w:i/>
        </w:rPr>
        <w:t>И.И.Мечникова</w:t>
      </w:r>
      <w:proofErr w:type="spellEnd"/>
      <w:r>
        <w:rPr>
          <w:i/>
        </w:rPr>
        <w:t>, Москва, Россия</w:t>
      </w:r>
    </w:p>
    <w:p w14:paraId="00000006" w14:textId="77777777" w:rsidR="00FD3BE1" w:rsidRPr="008E67C7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u w:val="single"/>
          <w:lang w:val="en-US"/>
        </w:rPr>
      </w:pPr>
      <w:r w:rsidRPr="008E67C7">
        <w:rPr>
          <w:i/>
          <w:lang w:val="en-US"/>
        </w:rPr>
        <w:t xml:space="preserve">E-mail: </w:t>
      </w:r>
      <w:hyperlink r:id="rId7">
        <w:r w:rsidRPr="008E67C7">
          <w:rPr>
            <w:i/>
            <w:color w:val="1155CC"/>
            <w:u w:val="single"/>
            <w:lang w:val="en-US"/>
          </w:rPr>
          <w:t>f.shykhalieva@mail.ru</w:t>
        </w:r>
      </w:hyperlink>
    </w:p>
    <w:p w14:paraId="00000007" w14:textId="77777777" w:rsidR="00FD3BE1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jc w:val="both"/>
      </w:pPr>
      <w:r>
        <w:t xml:space="preserve">Афлатоксин В1 (АВ1), </w:t>
      </w:r>
      <w:proofErr w:type="spellStart"/>
      <w:r>
        <w:t>альтернариол</w:t>
      </w:r>
      <w:proofErr w:type="spellEnd"/>
      <w:r>
        <w:t xml:space="preserve"> (AOL) и </w:t>
      </w:r>
      <w:proofErr w:type="spellStart"/>
      <w:r>
        <w:t>тенуазоновая</w:t>
      </w:r>
      <w:proofErr w:type="spellEnd"/>
      <w:r>
        <w:t xml:space="preserve"> </w:t>
      </w:r>
      <w:r>
        <w:t>кислота (TEA)</w:t>
      </w:r>
      <w:r>
        <w:rPr>
          <w:b/>
        </w:rPr>
        <w:t xml:space="preserve"> </w:t>
      </w:r>
      <w:r>
        <w:t xml:space="preserve">являются вторичными метаболитами микроскопических грибов </w:t>
      </w:r>
      <w:proofErr w:type="spellStart"/>
      <w:r>
        <w:rPr>
          <w:i/>
        </w:rPr>
        <w:t>Aspergillius</w:t>
      </w:r>
      <w:proofErr w:type="spellEnd"/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proofErr w:type="spellStart"/>
      <w:r>
        <w:rPr>
          <w:i/>
        </w:rPr>
        <w:t>Alternatia</w:t>
      </w:r>
      <w:proofErr w:type="spellEnd"/>
      <w:r>
        <w:rPr>
          <w:i/>
        </w:rPr>
        <w:t xml:space="preserve"> </w:t>
      </w:r>
      <w:r>
        <w:t>и относятся</w:t>
      </w:r>
      <w:r>
        <w:rPr>
          <w:b/>
        </w:rPr>
        <w:t xml:space="preserve"> </w:t>
      </w:r>
      <w:r>
        <w:t>к многочисленной группе</w:t>
      </w:r>
      <w:r>
        <w:rPr>
          <w:b/>
        </w:rPr>
        <w:t xml:space="preserve"> </w:t>
      </w:r>
      <w:r>
        <w:t>соединений, называемых</w:t>
      </w:r>
      <w:r>
        <w:rPr>
          <w:b/>
        </w:rPr>
        <w:t xml:space="preserve"> </w:t>
      </w:r>
      <w:proofErr w:type="spellStart"/>
      <w:r>
        <w:t>микотоксинами</w:t>
      </w:r>
      <w:proofErr w:type="spellEnd"/>
      <w:r>
        <w:t xml:space="preserve"> (МТ). Из-за своего токсического, канцерогенного, тератогенного и </w:t>
      </w:r>
      <w:proofErr w:type="spellStart"/>
      <w:r>
        <w:t>иммуносупрессивного</w:t>
      </w:r>
      <w:proofErr w:type="spellEnd"/>
      <w:r>
        <w:t xml:space="preserve"> в</w:t>
      </w:r>
      <w:r>
        <w:t>оздействия на организм человека и животных, МТ представляют серьезную проблему в области безопасности пищевых продуктов. Масличные культуры, орехи и зерновое сырье, используемые для изготовления растительных масел, в периоды вегетации и хранения могут подв</w:t>
      </w:r>
      <w:r>
        <w:t>ергаться грибной инвазии. Растительные масла входят в перечень продуктов первой необходимости, однако их контаминация МТ, особенно в РФ, исследована недостаточно.</w:t>
      </w:r>
      <w:r>
        <w:rPr>
          <w:highlight w:val="white"/>
        </w:rPr>
        <w:t xml:space="preserve"> Европейской комиссией в 2008 году была установлена ПДК АВ1 только </w:t>
      </w:r>
      <w:bookmarkStart w:id="0" w:name="_GoBack"/>
      <w:bookmarkEnd w:id="0"/>
      <w:r>
        <w:rPr>
          <w:highlight w:val="white"/>
        </w:rPr>
        <w:t>для подсолнечного масла — 2</w:t>
      </w:r>
      <w:r>
        <w:rPr>
          <w:highlight w:val="white"/>
        </w:rPr>
        <w:t xml:space="preserve"> мкг/кг, а в 2022 рекомендуемый порог для AOL и TEA — 10 и 100 мкг/кг, соответственно. </w:t>
      </w:r>
      <w:r>
        <w:t xml:space="preserve">Таким образом, для изучения загрязненности растительных масел, производимых и реализуемых на территории РФ, упомянутыми МТ необходимы высокочувствительные и специфичные </w:t>
      </w:r>
      <w:r>
        <w:t>методы, пригодные для выявления пороговых концентраций этих МТ в сложных матриксах. В отличие от физико-химических методов, требующих дорогостоящего оборудования и квалифицированного персонала, ИФА является простым, доступным и более предпочтительным инстр</w:t>
      </w:r>
      <w:r>
        <w:t>ументом для проведения как масштабных скрининговых исследований, так и рутинного анализа.</w:t>
      </w:r>
    </w:p>
    <w:p w14:paraId="00000008" w14:textId="77777777" w:rsidR="00FD3BE1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jc w:val="both"/>
      </w:pPr>
      <w:r>
        <w:t>Цель работы — создание непрямого конкурентного твердофазного ИФА для количественного определения AB1, AOL и TEA в растительных маслах и исследование контаминации этим</w:t>
      </w:r>
      <w:r>
        <w:t xml:space="preserve">и токсинами масел, представленных на отечественном рынке. </w:t>
      </w:r>
    </w:p>
    <w:p w14:paraId="00000009" w14:textId="77777777" w:rsidR="00FD3BE1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jc w:val="both"/>
      </w:pPr>
      <w:r>
        <w:t xml:space="preserve">Для анализа использовали кроличьи </w:t>
      </w:r>
      <w:proofErr w:type="spellStart"/>
      <w:r>
        <w:t>поликлональные</w:t>
      </w:r>
      <w:proofErr w:type="spellEnd"/>
      <w:r>
        <w:t xml:space="preserve"> антитела к AOL и мышиные </w:t>
      </w:r>
      <w:proofErr w:type="spellStart"/>
      <w:r>
        <w:t>моноклональные</w:t>
      </w:r>
      <w:proofErr w:type="spellEnd"/>
      <w:r>
        <w:t xml:space="preserve"> анти-АВ1 и анти-ТЕА, а также твердофазные антигены — </w:t>
      </w:r>
      <w:proofErr w:type="spellStart"/>
      <w:r>
        <w:t>конъюгаты</w:t>
      </w:r>
      <w:proofErr w:type="spellEnd"/>
      <w:r>
        <w:t xml:space="preserve"> МТ с желатином и бычьим сывороточным альбумин</w:t>
      </w:r>
      <w:r>
        <w:t xml:space="preserve">ом (Жел-AB1, </w:t>
      </w:r>
      <w:proofErr w:type="spellStart"/>
      <w:r>
        <w:t>Жел</w:t>
      </w:r>
      <w:proofErr w:type="spellEnd"/>
      <w:r>
        <w:t>-AOL, БСА-ТЕА). Разработанные ИФА характеризовались групповой специфичностью к афлатоксинам (AB1+АВ2+AG1), селективностью к AOL и TEA и чувствительностью (IC</w:t>
      </w:r>
      <w:r>
        <w:rPr>
          <w:vertAlign w:val="subscript"/>
        </w:rPr>
        <w:t xml:space="preserve">50 </w:t>
      </w:r>
      <w:r>
        <w:t xml:space="preserve">= 0.03, 0.2, и 0.1 </w:t>
      </w:r>
      <w:proofErr w:type="spellStart"/>
      <w:r>
        <w:t>нг</w:t>
      </w:r>
      <w:proofErr w:type="spellEnd"/>
      <w:r>
        <w:t>/мл, соответственно). Рабочий диапазон анализа AB1 составил</w:t>
      </w:r>
      <w:r>
        <w:t xml:space="preserve"> 0.007–0.127 </w:t>
      </w:r>
      <w:proofErr w:type="spellStart"/>
      <w:r>
        <w:t>нг</w:t>
      </w:r>
      <w:proofErr w:type="spellEnd"/>
      <w:r>
        <w:t xml:space="preserve">/мл, TEA — 0.024–0.54 </w:t>
      </w:r>
      <w:proofErr w:type="spellStart"/>
      <w:r>
        <w:t>нг</w:t>
      </w:r>
      <w:proofErr w:type="spellEnd"/>
      <w:r>
        <w:t xml:space="preserve">/мл, а AOL — 0.055–1.149 </w:t>
      </w:r>
      <w:proofErr w:type="spellStart"/>
      <w:r>
        <w:t>нг</w:t>
      </w:r>
      <w:proofErr w:type="spellEnd"/>
      <w:r>
        <w:t>/мл. Экстракция МТ требовала индивидуального подхода. Так AB1 экстрагировали ацетонитрилом, AOL — метанолом, а TEA — с помощью в фосфатно-солевого буфера (PBST). После разведения PBST, экстр</w:t>
      </w:r>
      <w:r>
        <w:t xml:space="preserve">акты анализировали в ИФА.  Объектами исследования стали 103 образца подсолнечных (27), льняных (17) оливковых (13), горчичных (9), кунжутных (8) и др. масел, доступных в отечественной торговой сети. AOL был обнаружен в 78 образцах (0.024–28.1 </w:t>
      </w:r>
      <w:proofErr w:type="spellStart"/>
      <w:r>
        <w:t>нг</w:t>
      </w:r>
      <w:proofErr w:type="spellEnd"/>
      <w:r>
        <w:t>/мл), TEA в</w:t>
      </w:r>
      <w:r>
        <w:t xml:space="preserve"> 70 образцах (1.1–1100 </w:t>
      </w:r>
      <w:proofErr w:type="spellStart"/>
      <w:r>
        <w:t>нг</w:t>
      </w:r>
      <w:proofErr w:type="spellEnd"/>
      <w:r>
        <w:t xml:space="preserve">/мл). Следовые количества AB1 в 89 образцах (0.01–0.22 </w:t>
      </w:r>
      <w:proofErr w:type="spellStart"/>
      <w:r>
        <w:t>нг</w:t>
      </w:r>
      <w:proofErr w:type="spellEnd"/>
      <w:r>
        <w:t xml:space="preserve">/мл) не превышали ПДК. В подсолнечных, конопляных, кунжутных и др. образцах масел, пороговый уровень AOL и ТЕА был превышен в 3.9% и 6.8%, соответственно. </w:t>
      </w:r>
    </w:p>
    <w:p w14:paraId="0000000A" w14:textId="77777777" w:rsidR="00FD3BE1" w:rsidRDefault="00F02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jc w:val="both"/>
      </w:pPr>
      <w:r>
        <w:t>В ходе исследовани</w:t>
      </w:r>
      <w:r>
        <w:t>я был разработан ИФА для обнаружения пороговых концентраций AB1, AOL и TEA в пищевых маслах и произведена количественная оценка уровня распространённости МТ. Концентрация AB1, AOL и TEA в нерафинированных образцах подсолнечного, оливкового и др. масел выше</w:t>
      </w:r>
      <w:r>
        <w:t xml:space="preserve">, чем в рафинированных или рафинированно-дезодорированных, также для растительных масел характерна контаминация несколькими видами МТ. </w:t>
      </w:r>
    </w:p>
    <w:sectPr w:rsidR="00FD3BE1" w:rsidSect="006C1E7E">
      <w:headerReference w:type="default" r:id="rId8"/>
      <w:footerReference w:type="default" r:id="rId9"/>
      <w:pgSz w:w="11900" w:h="16840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A775F" w14:textId="77777777" w:rsidR="00F025B3" w:rsidRDefault="00F025B3">
      <w:pPr>
        <w:spacing w:line="240" w:lineRule="auto"/>
      </w:pPr>
      <w:r>
        <w:separator/>
      </w:r>
    </w:p>
  </w:endnote>
  <w:endnote w:type="continuationSeparator" w:id="0">
    <w:p w14:paraId="2396824C" w14:textId="77777777" w:rsidR="00F025B3" w:rsidRDefault="00F02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C" w14:textId="77777777" w:rsidR="00FD3BE1" w:rsidRDefault="00FD3BE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038B9" w14:textId="77777777" w:rsidR="00F025B3" w:rsidRDefault="00F025B3">
      <w:pPr>
        <w:spacing w:line="240" w:lineRule="auto"/>
      </w:pPr>
      <w:r>
        <w:separator/>
      </w:r>
    </w:p>
  </w:footnote>
  <w:footnote w:type="continuationSeparator" w:id="0">
    <w:p w14:paraId="794E4BA8" w14:textId="77777777" w:rsidR="00F025B3" w:rsidRDefault="00F025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B" w14:textId="77777777" w:rsidR="00FD3BE1" w:rsidRDefault="00FD3BE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E1"/>
    <w:rsid w:val="006C1E7E"/>
    <w:rsid w:val="008E67C7"/>
    <w:rsid w:val="00F025B3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9371C-D273-48A5-A856-46C4D58E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0" w:lineRule="atLeast"/>
      <w:outlineLvl w:val="0"/>
    </w:pPr>
    <w:rPr>
      <w:rFonts w:eastAsia="Arial Unicode MS" w:cs="Arial Unicode MS"/>
      <w:color w:val="000000"/>
      <w:position w:val="-2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shykhaliev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C3o7KMGVZcLuIZkzYhV3VFebg==">CgMxLjA4AHIhMVExWU52R1QxN0YzeVVMa1M4NU94aEp1aHIySTVKVkF5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Буркин Максим</dc:creator>
  <cp:lastModifiedBy>Катя</cp:lastModifiedBy>
  <cp:revision>4</cp:revision>
  <dcterms:created xsi:type="dcterms:W3CDTF">2024-03-18T14:31:00Z</dcterms:created>
  <dcterms:modified xsi:type="dcterms:W3CDTF">2024-03-18T14:41:00Z</dcterms:modified>
</cp:coreProperties>
</file>