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54" w:rsidRPr="00453DFC" w:rsidRDefault="00670054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Исследование </w:t>
      </w:r>
      <w:r w:rsidRPr="008C170B">
        <w:rPr>
          <w:b/>
          <w:bCs/>
          <w:color w:val="000000"/>
        </w:rPr>
        <w:t xml:space="preserve">спектров импеданса электрохимического </w:t>
      </w:r>
      <w:proofErr w:type="spellStart"/>
      <w:r w:rsidRPr="008C170B">
        <w:rPr>
          <w:b/>
          <w:bCs/>
          <w:color w:val="000000"/>
        </w:rPr>
        <w:t>литирования</w:t>
      </w:r>
      <w:proofErr w:type="spellEnd"/>
      <w:r w:rsidRPr="008C170B">
        <w:rPr>
          <w:b/>
          <w:bCs/>
          <w:color w:val="000000"/>
        </w:rPr>
        <w:t xml:space="preserve"> алюминия</w:t>
      </w:r>
    </w:p>
    <w:p w:rsidR="00670054" w:rsidRDefault="00670054" w:rsidP="00CB73CF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Алпатов С.С., Семенихин О.А.</w:t>
      </w:r>
    </w:p>
    <w:p w:rsidR="00670054" w:rsidRDefault="00670054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 xml:space="preserve">Студент, 5 курс </w:t>
      </w:r>
      <w:proofErr w:type="spellStart"/>
      <w:r>
        <w:rPr>
          <w:i/>
          <w:iCs/>
          <w:color w:val="000000"/>
        </w:rPr>
        <w:t>специалитета</w:t>
      </w:r>
      <w:proofErr w:type="spellEnd"/>
    </w:p>
    <w:p w:rsidR="00670054" w:rsidRDefault="00670054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iCs/>
          <w:color w:val="000000"/>
        </w:rPr>
        <w:t>М.В.Ломоносова</w:t>
      </w:r>
      <w:proofErr w:type="spellEnd"/>
      <w:r>
        <w:rPr>
          <w:i/>
          <w:iCs/>
          <w:color w:val="000000"/>
        </w:rPr>
        <w:t>, </w:t>
      </w:r>
    </w:p>
    <w:p w:rsidR="00670054" w:rsidRDefault="00670054">
      <w:pP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химический факультет, Москва, Россия</w:t>
      </w:r>
    </w:p>
    <w:p w:rsidR="00670054" w:rsidRPr="00110E4D" w:rsidRDefault="00670054">
      <w:pPr>
        <w:shd w:val="clear" w:color="auto" w:fill="FFFFFF"/>
        <w:jc w:val="center"/>
      </w:pPr>
      <w:r>
        <w:rPr>
          <w:i/>
          <w:iCs/>
          <w:color w:val="000000"/>
          <w:lang w:val="en-GB"/>
        </w:rPr>
        <w:t>E</w:t>
      </w:r>
      <w:r w:rsidRPr="007F7C9E">
        <w:rPr>
          <w:i/>
          <w:iCs/>
          <w:color w:val="000000"/>
        </w:rPr>
        <w:t>-</w:t>
      </w:r>
      <w:r>
        <w:rPr>
          <w:i/>
          <w:iCs/>
          <w:color w:val="000000"/>
          <w:lang w:val="en-GB"/>
        </w:rPr>
        <w:t>mail</w:t>
      </w:r>
      <w:r w:rsidRPr="007F7C9E">
        <w:rPr>
          <w:i/>
          <w:iCs/>
          <w:color w:val="000000"/>
        </w:rPr>
        <w:t xml:space="preserve">: </w:t>
      </w:r>
      <w:hyperlink r:id="rId5">
        <w:r>
          <w:rPr>
            <w:i/>
            <w:iCs/>
            <w:color w:val="000000"/>
            <w:u w:val="single"/>
            <w:lang w:val="en-US"/>
          </w:rPr>
          <w:t>stepalpvik</w:t>
        </w:r>
        <w:r w:rsidRPr="007F7C9E">
          <w:rPr>
            <w:i/>
            <w:iCs/>
            <w:color w:val="000000"/>
            <w:u w:val="single"/>
          </w:rPr>
          <w:t>@</w:t>
        </w:r>
        <w:r>
          <w:rPr>
            <w:i/>
            <w:iCs/>
            <w:color w:val="000000"/>
            <w:u w:val="single"/>
            <w:lang w:val="en-GB"/>
          </w:rPr>
          <w:t>yandex</w:t>
        </w:r>
        <w:r w:rsidRPr="007F7C9E">
          <w:rPr>
            <w:i/>
            <w:iCs/>
            <w:color w:val="000000"/>
            <w:u w:val="single"/>
          </w:rPr>
          <w:t>.</w:t>
        </w:r>
        <w:proofErr w:type="spellStart"/>
        <w:r>
          <w:rPr>
            <w:i/>
            <w:iCs/>
            <w:color w:val="000000"/>
            <w:u w:val="single"/>
            <w:lang w:val="en-GB"/>
          </w:rPr>
          <w:t>ru</w:t>
        </w:r>
        <w:proofErr w:type="spellEnd"/>
      </w:hyperlink>
    </w:p>
    <w:p w:rsidR="00670054" w:rsidRPr="00110E4D" w:rsidRDefault="00670054">
      <w:pPr>
        <w:shd w:val="clear" w:color="auto" w:fill="FFFFFF"/>
        <w:jc w:val="center"/>
      </w:pPr>
    </w:p>
    <w:p w:rsidR="00670054" w:rsidRDefault="00670054">
      <w:pPr>
        <w:shd w:val="clear" w:color="auto" w:fill="FFFFFF"/>
        <w:ind w:firstLine="397"/>
        <w:jc w:val="both"/>
      </w:pPr>
      <w:r>
        <w:t xml:space="preserve">Электрохимическое </w:t>
      </w:r>
      <w:proofErr w:type="spellStart"/>
      <w:r>
        <w:t>литирование</w:t>
      </w:r>
      <w:proofErr w:type="spellEnd"/>
      <w:r>
        <w:t xml:space="preserve"> алюминия имеет большое практическое значение, поскольку полученный таким образом материал может быть использован в качестве анода</w:t>
      </w:r>
      <w:r w:rsidRPr="00CB73CF">
        <w:t xml:space="preserve"> для </w:t>
      </w:r>
      <w:r>
        <w:t>работы литий-ионных аккумуляторов.</w:t>
      </w:r>
    </w:p>
    <w:p w:rsidR="00670054" w:rsidRPr="00110E4D" w:rsidRDefault="00670054">
      <w:pPr>
        <w:shd w:val="clear" w:color="auto" w:fill="FFFFFF"/>
        <w:ind w:firstLine="397"/>
        <w:jc w:val="both"/>
      </w:pPr>
      <w:r>
        <w:t xml:space="preserve">Металлический алюминий может химически или </w:t>
      </w:r>
      <w:proofErr w:type="spellStart"/>
      <w:r>
        <w:t>электрохимически</w:t>
      </w:r>
      <w:proofErr w:type="spellEnd"/>
      <w:r>
        <w:t xml:space="preserve"> реагировать с литием с образованием сначала твёрдого раствора α-</w:t>
      </w:r>
      <w:proofErr w:type="spellStart"/>
      <w:r>
        <w:rPr>
          <w:lang w:val="en-US"/>
        </w:rPr>
        <w:t>LiAl</w:t>
      </w:r>
      <w:proofErr w:type="spellEnd"/>
      <w:r>
        <w:t>, а затем с образованием интерметаллического соединения β-</w:t>
      </w:r>
      <w:proofErr w:type="spellStart"/>
      <w:r>
        <w:rPr>
          <w:lang w:val="en-US"/>
        </w:rPr>
        <w:t>LiAl</w:t>
      </w:r>
      <w:proofErr w:type="spellEnd"/>
      <w:r>
        <w:t>. Твёрдый раствор имеет ту же кристаллическую структуру</w:t>
      </w:r>
      <w:r w:rsidR="00110E4D">
        <w:t>,</w:t>
      </w:r>
      <w:r>
        <w:t xml:space="preserve"> что и алюминий, а β-</w:t>
      </w:r>
      <w:proofErr w:type="spellStart"/>
      <w:r>
        <w:rPr>
          <w:lang w:val="en-US"/>
        </w:rPr>
        <w:t>LiAl</w:t>
      </w:r>
      <w:proofErr w:type="spellEnd"/>
      <w:r>
        <w:t xml:space="preserve"> имеет объёмно-центрированную решётку типа фазы </w:t>
      </w:r>
      <w:proofErr w:type="spellStart"/>
      <w:r>
        <w:t>Цинтля</w:t>
      </w:r>
      <w:proofErr w:type="spellEnd"/>
      <w:r>
        <w:t>. Соответственно переход из α фазы в β фазу характеризуется значительной структурной перестройкой. При этом вначале образуется α-</w:t>
      </w:r>
      <w:proofErr w:type="spellStart"/>
      <w:r>
        <w:rPr>
          <w:lang w:val="en-US"/>
        </w:rPr>
        <w:t>LiAl</w:t>
      </w:r>
      <w:proofErr w:type="spellEnd"/>
      <w:r>
        <w:t>, а затем в результате гомогенного перехода из твёрдого раствора образуется β-</w:t>
      </w:r>
      <w:proofErr w:type="spellStart"/>
      <w:r>
        <w:rPr>
          <w:lang w:val="en-US"/>
        </w:rPr>
        <w:t>LiAl</w:t>
      </w:r>
      <w:proofErr w:type="spellEnd"/>
      <w:r>
        <w:t xml:space="preserve"> (рис. 1).</w:t>
      </w:r>
    </w:p>
    <w:p w:rsidR="00670054" w:rsidRPr="00110E4D" w:rsidRDefault="00670054">
      <w:pPr>
        <w:shd w:val="clear" w:color="auto" w:fill="FFFFFF"/>
        <w:ind w:firstLine="397"/>
        <w:jc w:val="both"/>
      </w:pPr>
    </w:p>
    <w:p w:rsidR="00670054" w:rsidRDefault="00F75232" w:rsidP="00D44C2C">
      <w:pPr>
        <w:shd w:val="clear" w:color="auto" w:fill="FFFFFF"/>
        <w:ind w:firstLine="397"/>
        <w:jc w:val="center"/>
        <w:rPr>
          <w:noProof/>
          <w:lang w:val="en-CA" w:eastAsia="en-CA"/>
        </w:rPr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62.5pt;height:147.75pt;visibility:visible">
            <v:imagedata r:id="rId6" o:title=""/>
          </v:shape>
        </w:pict>
      </w:r>
    </w:p>
    <w:p w:rsidR="00670054" w:rsidRPr="00110E4D" w:rsidRDefault="00670054" w:rsidP="00D44C2C">
      <w:pPr>
        <w:shd w:val="clear" w:color="auto" w:fill="FFFFFF"/>
        <w:ind w:firstLine="397"/>
        <w:jc w:val="center"/>
      </w:pPr>
      <w:r>
        <w:t>Рис. 1.</w:t>
      </w:r>
      <w:r w:rsidRPr="00D44C2C">
        <w:t xml:space="preserve"> </w:t>
      </w:r>
      <w:r>
        <w:t xml:space="preserve">Схема процесса диффузии ионов </w:t>
      </w:r>
      <w:r>
        <w:rPr>
          <w:lang w:val="en-US"/>
        </w:rPr>
        <w:t>Li</w:t>
      </w:r>
      <w:r w:rsidRPr="00D44C2C">
        <w:t xml:space="preserve"> </w:t>
      </w:r>
      <w:r>
        <w:t>с образованием α-</w:t>
      </w:r>
      <w:proofErr w:type="spellStart"/>
      <w:r>
        <w:rPr>
          <w:lang w:val="en-US"/>
        </w:rPr>
        <w:t>LiAl</w:t>
      </w:r>
      <w:proofErr w:type="spellEnd"/>
      <w:r>
        <w:t xml:space="preserve"> и β-</w:t>
      </w:r>
      <w:proofErr w:type="spellStart"/>
      <w:r>
        <w:rPr>
          <w:lang w:val="en-US"/>
        </w:rPr>
        <w:t>LiAl</w:t>
      </w:r>
      <w:proofErr w:type="spellEnd"/>
      <w:r>
        <w:t xml:space="preserve"> </w:t>
      </w:r>
      <w:r w:rsidRPr="00D44C2C">
        <w:t>[1]</w:t>
      </w:r>
      <w:r>
        <w:t>.</w:t>
      </w:r>
    </w:p>
    <w:p w:rsidR="00670054" w:rsidRPr="00CB73CF" w:rsidRDefault="00670054" w:rsidP="00453DFC">
      <w:pPr>
        <w:shd w:val="clear" w:color="auto" w:fill="FFFFFF"/>
        <w:spacing w:before="120"/>
        <w:ind w:firstLine="397"/>
        <w:jc w:val="both"/>
      </w:pPr>
      <w:r>
        <w:t xml:space="preserve">При измерениях электрохимического импеданса процесс диффузии с одновременной гомогенной химической реакцией соответствует так называемому импедансу </w:t>
      </w:r>
      <w:proofErr w:type="spellStart"/>
      <w:r>
        <w:t>Геришера</w:t>
      </w:r>
      <w:proofErr w:type="spellEnd"/>
      <w:r>
        <w:t>, который может быть охарактеризован следующими уравнением [2]:</w:t>
      </w:r>
    </w:p>
    <w:p w:rsidR="00670054" w:rsidRPr="00CB73CF" w:rsidRDefault="00F75232">
      <w:pPr>
        <w:shd w:val="clear" w:color="auto" w:fill="FFFFFF"/>
        <w:ind w:firstLine="397"/>
        <w:jc w:val="both"/>
      </w:pPr>
      <w:r>
        <w:rPr>
          <w:noProof/>
          <w:lang w:val="en-CA" w:eastAsia="en-CA"/>
        </w:rPr>
        <w:object w:dxaOrig="1440" w:dyaOrig="1440">
          <v:shape id="_x0000_s1026" type="#_x0000_t75" style="position:absolute;left:0;text-align:left;margin-left:83.5pt;margin-top:5.8pt;width:65pt;height:33pt;z-index:1">
            <v:imagedata r:id="rId7" o:title=""/>
            <w10:wrap type="square"/>
          </v:shape>
          <o:OLEObject Type="Embed" ProgID="Equation.3" ShapeID="_x0000_s1026" DrawAspect="Content" ObjectID="_1770657126" r:id="rId8"/>
        </w:object>
      </w:r>
    </w:p>
    <w:p w:rsidR="00670054" w:rsidRPr="001900B6" w:rsidRDefault="00670054" w:rsidP="001900B6">
      <w:pPr>
        <w:shd w:val="clear" w:color="auto" w:fill="FFFFFF"/>
        <w:ind w:firstLine="397"/>
        <w:jc w:val="center"/>
      </w:pPr>
      <w:r w:rsidRPr="00BA75B2">
        <w:fldChar w:fldCharType="begin"/>
      </w:r>
      <w:r w:rsidRPr="00BA75B2">
        <w:instrText xml:space="preserve"> QUOTE </w:instrText>
      </w:r>
      <w:r w:rsidR="00F75232">
        <w:pict>
          <v:shape id="_x0000_i1026" type="#_x0000_t75" style="width:77.25pt;height:32.25pt">
            <v:imagedata r:id="rId9" o:title="" chromakey="white"/>
          </v:shape>
        </w:pict>
      </w:r>
      <w:r w:rsidRPr="00BA75B2">
        <w:instrText xml:space="preserve"> </w:instrText>
      </w:r>
      <w:r w:rsidRPr="00BA75B2">
        <w:fldChar w:fldCharType="end"/>
      </w:r>
      <w:r>
        <w:tab/>
      </w:r>
      <w:r>
        <w:tab/>
      </w:r>
      <w:r w:rsidRPr="001900B6">
        <w:t>(1)</w:t>
      </w:r>
    </w:p>
    <w:p w:rsidR="00670054" w:rsidRPr="00110E4D" w:rsidRDefault="00670054">
      <w:pPr>
        <w:shd w:val="clear" w:color="auto" w:fill="FFFFFF"/>
        <w:ind w:firstLine="397"/>
        <w:jc w:val="both"/>
      </w:pPr>
    </w:p>
    <w:p w:rsidR="00670054" w:rsidRPr="00CB73CF" w:rsidRDefault="00670054" w:rsidP="00CB73CF">
      <w:pPr>
        <w:shd w:val="clear" w:color="auto" w:fill="FFFFFF"/>
        <w:jc w:val="both"/>
      </w:pPr>
      <w:r w:rsidRPr="00CB73CF">
        <w:t xml:space="preserve">где </w:t>
      </w:r>
      <w:r w:rsidRPr="00CB73CF">
        <w:rPr>
          <w:b/>
          <w:bCs/>
          <w:i/>
          <w:iCs/>
          <w:lang w:val="en-CA"/>
        </w:rPr>
        <w:t>k</w:t>
      </w:r>
      <w:r w:rsidRPr="00CB73CF">
        <w:t xml:space="preserve"> - эффективная константа скорости гомогенной химической реакции.</w:t>
      </w:r>
    </w:p>
    <w:p w:rsidR="00670054" w:rsidRDefault="00670054">
      <w:pPr>
        <w:shd w:val="clear" w:color="auto" w:fill="FFFFFF"/>
        <w:ind w:firstLine="397"/>
        <w:jc w:val="both"/>
      </w:pPr>
      <w:r>
        <w:t xml:space="preserve">Из импеданса </w:t>
      </w:r>
      <w:proofErr w:type="spellStart"/>
      <w:r>
        <w:t>Геришера</w:t>
      </w:r>
      <w:proofErr w:type="spellEnd"/>
      <w:r>
        <w:t xml:space="preserve"> можно определить константу скорости гомогенной реакции и концентрацию диффундирующих ионов, если известен коэффициент диффузии. При проведении данной обработки измерений спектров электрохимического импеданса было показано</w:t>
      </w:r>
      <w:r w:rsidR="00110E4D">
        <w:t>,</w:t>
      </w:r>
      <w:r>
        <w:t xml:space="preserve"> что в эквивалентной схеме есть элемент </w:t>
      </w:r>
      <w:proofErr w:type="spellStart"/>
      <w:r>
        <w:t>Геришера</w:t>
      </w:r>
      <w:proofErr w:type="spellEnd"/>
      <w:r>
        <w:t>.</w:t>
      </w:r>
    </w:p>
    <w:p w:rsidR="00670054" w:rsidRPr="00163711" w:rsidRDefault="00670054" w:rsidP="00163711">
      <w:pPr>
        <w:shd w:val="clear" w:color="auto" w:fill="FFFFFF"/>
        <w:ind w:firstLine="397"/>
        <w:jc w:val="both"/>
      </w:pPr>
      <w:r>
        <w:t xml:space="preserve">В данной работе проведены измерения спектров импеданса процесса </w:t>
      </w:r>
      <w:proofErr w:type="spellStart"/>
      <w:r>
        <w:t>литирования</w:t>
      </w:r>
      <w:proofErr w:type="spellEnd"/>
      <w:r>
        <w:t xml:space="preserve"> и получены значения концентрации ионов лития и константы скорости образования β фазы из твёрдого раствора α-</w:t>
      </w:r>
      <w:proofErr w:type="spellStart"/>
      <w:r>
        <w:rPr>
          <w:lang w:val="en-US"/>
        </w:rPr>
        <w:t>LiAl</w:t>
      </w:r>
      <w:proofErr w:type="spellEnd"/>
      <w:r>
        <w:t xml:space="preserve"> в различных условиях.</w:t>
      </w:r>
    </w:p>
    <w:p w:rsidR="00670054" w:rsidRPr="001900B6" w:rsidRDefault="00670054" w:rsidP="00CB73CF">
      <w:pPr>
        <w:shd w:val="clear" w:color="auto" w:fill="FFFFFF"/>
        <w:spacing w:before="120" w:after="120"/>
        <w:jc w:val="center"/>
        <w:rPr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 w:rsidR="00670054" w:rsidRDefault="00670054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rFonts w:ascii="Times-Roman" w:hAnsi="Times-Roman" w:cs="Times-Roman"/>
          <w:lang w:val="en-US"/>
        </w:rPr>
        <w:t>Liu, D.X.; Co, A.C.</w:t>
      </w:r>
      <w:r w:rsidRPr="00D44C2C">
        <w:rPr>
          <w:rFonts w:ascii="Times-Roman" w:hAnsi="Times-Roman" w:cs="Times-Roman"/>
          <w:lang w:val="en-US"/>
        </w:rPr>
        <w:t xml:space="preserve"> </w:t>
      </w:r>
      <w:r>
        <w:rPr>
          <w:rFonts w:ascii="Times-Roman" w:hAnsi="Times-Roman" w:cs="Times-Roman"/>
          <w:lang w:val="en-US"/>
        </w:rPr>
        <w:t>Revealing chemical processes involved in electrochemical (de)</w:t>
      </w:r>
      <w:proofErr w:type="spellStart"/>
      <w:r>
        <w:rPr>
          <w:rFonts w:ascii="Times-Roman" w:hAnsi="Times-Roman" w:cs="Times-Roman"/>
          <w:lang w:val="en-US"/>
        </w:rPr>
        <w:t>l</w:t>
      </w:r>
      <w:r w:rsidRPr="00D44C2C">
        <w:rPr>
          <w:rFonts w:ascii="Times-Roman" w:hAnsi="Times-Roman" w:cs="Times-Roman"/>
          <w:lang w:val="en-US"/>
        </w:rPr>
        <w:t>ithiation</w:t>
      </w:r>
      <w:proofErr w:type="spellEnd"/>
      <w:r w:rsidRPr="00D44C2C">
        <w:rPr>
          <w:rFonts w:ascii="Times-Roman" w:hAnsi="Times-Roman" w:cs="Times-Roman"/>
          <w:lang w:val="en-US"/>
        </w:rPr>
        <w:t xml:space="preserve"> of</w:t>
      </w:r>
      <w:r>
        <w:rPr>
          <w:rFonts w:ascii="Times-Roman" w:hAnsi="Times-Roman" w:cs="Times-Roman"/>
          <w:lang w:val="en-US"/>
        </w:rPr>
        <w:t xml:space="preserve"> Al with in situ neutron depth profiling and X-ray d</w:t>
      </w:r>
      <w:r w:rsidRPr="00D44C2C">
        <w:rPr>
          <w:rFonts w:ascii="Times-Roman" w:hAnsi="Times-Roman" w:cs="Times-Roman"/>
          <w:lang w:val="en-US"/>
        </w:rPr>
        <w:t>iffraction //</w:t>
      </w:r>
      <w:r>
        <w:rPr>
          <w:rFonts w:ascii="Times-Roman" w:hAnsi="Times-Roman" w:cs="Times-Roman"/>
          <w:lang w:val="en-US"/>
        </w:rPr>
        <w:t xml:space="preserve"> </w:t>
      </w:r>
      <w:r w:rsidRPr="00D44C2C">
        <w:rPr>
          <w:rFonts w:ascii="Times-Italic" w:hAnsi="Times-Italic" w:cs="Times-Italic"/>
          <w:lang w:val="en-US"/>
        </w:rPr>
        <w:t xml:space="preserve">J. Am. Chem. Soc., </w:t>
      </w:r>
      <w:r w:rsidRPr="00D44C2C">
        <w:rPr>
          <w:rFonts w:ascii="Times-Bold" w:hAnsi="Times-Bold" w:cs="Times-Bold"/>
          <w:lang w:val="en-US"/>
        </w:rPr>
        <w:t>2016</w:t>
      </w:r>
      <w:r w:rsidRPr="00D44C2C">
        <w:rPr>
          <w:rFonts w:ascii="Times-Roman" w:hAnsi="Times-Roman" w:cs="Times-Roman"/>
          <w:lang w:val="en-US"/>
        </w:rPr>
        <w:t xml:space="preserve">, </w:t>
      </w:r>
      <w:r w:rsidRPr="00D44C2C">
        <w:rPr>
          <w:rFonts w:ascii="Times-Italic" w:hAnsi="Times-Italic" w:cs="Times-Italic"/>
          <w:lang w:val="en-US"/>
        </w:rPr>
        <w:t>138</w:t>
      </w:r>
      <w:r w:rsidRPr="00D44C2C">
        <w:rPr>
          <w:rFonts w:ascii="Times-Roman" w:hAnsi="Times-Roman" w:cs="Times-Roman"/>
          <w:lang w:val="en-US"/>
        </w:rPr>
        <w:t>, 231-238</w:t>
      </w:r>
      <w:r>
        <w:rPr>
          <w:color w:val="000000"/>
          <w:lang w:val="en-US"/>
        </w:rPr>
        <w:t>.</w:t>
      </w:r>
    </w:p>
    <w:p w:rsidR="00670054" w:rsidRPr="00F75232" w:rsidRDefault="00670054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453DFC">
        <w:rPr>
          <w:color w:val="000000"/>
          <w:lang w:val="en-US"/>
        </w:rPr>
        <w:t>Boukamp</w:t>
      </w:r>
      <w:proofErr w:type="spellEnd"/>
      <w:r>
        <w:rPr>
          <w:color w:val="000000"/>
          <w:lang w:val="en-US"/>
        </w:rPr>
        <w:t xml:space="preserve">, B.A., </w:t>
      </w:r>
      <w:proofErr w:type="spellStart"/>
      <w:r w:rsidRPr="00453DFC">
        <w:rPr>
          <w:color w:val="000000"/>
          <w:lang w:val="en-US"/>
        </w:rPr>
        <w:t>Bouwmeester</w:t>
      </w:r>
      <w:proofErr w:type="spellEnd"/>
      <w:r>
        <w:rPr>
          <w:color w:val="000000"/>
          <w:lang w:val="en-US"/>
        </w:rPr>
        <w:t xml:space="preserve">, H.J.M. </w:t>
      </w:r>
      <w:r w:rsidRPr="00453DFC">
        <w:rPr>
          <w:color w:val="000000"/>
          <w:lang w:val="en-US"/>
        </w:rPr>
        <w:t xml:space="preserve">Interpretation of the </w:t>
      </w:r>
      <w:proofErr w:type="spellStart"/>
      <w:r w:rsidRPr="00453DFC">
        <w:rPr>
          <w:color w:val="000000"/>
          <w:lang w:val="en-US"/>
        </w:rPr>
        <w:t>Gerischer</w:t>
      </w:r>
      <w:proofErr w:type="spellEnd"/>
      <w:r w:rsidRPr="00453DFC">
        <w:rPr>
          <w:color w:val="000000"/>
          <w:lang w:val="en-US"/>
        </w:rPr>
        <w:t xml:space="preserve"> impedance in solid state </w:t>
      </w:r>
      <w:proofErr w:type="spellStart"/>
      <w:r w:rsidRPr="00453DFC">
        <w:rPr>
          <w:color w:val="000000"/>
          <w:lang w:val="en-US"/>
        </w:rPr>
        <w:t>ionics</w:t>
      </w:r>
      <w:proofErr w:type="spellEnd"/>
      <w:r>
        <w:rPr>
          <w:color w:val="000000"/>
          <w:lang w:val="en-US"/>
        </w:rPr>
        <w:t xml:space="preserve"> // </w:t>
      </w:r>
      <w:r w:rsidRPr="00CB73CF">
        <w:rPr>
          <w:color w:val="000000"/>
          <w:lang w:val="en-US"/>
        </w:rPr>
        <w:t>Solid State Ionics</w:t>
      </w:r>
      <w:r>
        <w:rPr>
          <w:color w:val="000000"/>
          <w:lang w:val="en-US"/>
        </w:rPr>
        <w:t xml:space="preserve">, 2003, 157, </w:t>
      </w:r>
      <w:r w:rsidRPr="00CB73CF">
        <w:rPr>
          <w:color w:val="000000"/>
          <w:lang w:val="en-US"/>
        </w:rPr>
        <w:t>29– 33</w:t>
      </w:r>
      <w:r w:rsidR="00F75232" w:rsidRPr="00F75232">
        <w:rPr>
          <w:color w:val="000000"/>
          <w:lang w:val="en-US"/>
        </w:rPr>
        <w:t>.</w:t>
      </w:r>
      <w:bookmarkStart w:id="0" w:name="_GoBack"/>
      <w:bookmarkEnd w:id="0"/>
    </w:p>
    <w:sectPr w:rsidR="00670054" w:rsidRPr="00F75232" w:rsidSect="009B1C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CE8"/>
    <w:rsid w:val="00110E4D"/>
    <w:rsid w:val="00163711"/>
    <w:rsid w:val="001900B6"/>
    <w:rsid w:val="002416E3"/>
    <w:rsid w:val="00453DFC"/>
    <w:rsid w:val="0048652A"/>
    <w:rsid w:val="00582C87"/>
    <w:rsid w:val="00670054"/>
    <w:rsid w:val="007F7C9E"/>
    <w:rsid w:val="008C170B"/>
    <w:rsid w:val="009B1CE8"/>
    <w:rsid w:val="009D349B"/>
    <w:rsid w:val="009D705A"/>
    <w:rsid w:val="00B01683"/>
    <w:rsid w:val="00BA75B2"/>
    <w:rsid w:val="00C740DE"/>
    <w:rsid w:val="00CB73CF"/>
    <w:rsid w:val="00D44C2C"/>
    <w:rsid w:val="00E12899"/>
    <w:rsid w:val="00EE773B"/>
    <w:rsid w:val="00F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32B6699-BA8B-46D3-92EC-92FA7440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D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0DE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  <w:lang w:val="en-CA" w:eastAsia="en-CA"/>
    </w:rPr>
  </w:style>
  <w:style w:type="paragraph" w:styleId="2">
    <w:name w:val="heading 2"/>
    <w:basedOn w:val="a"/>
    <w:next w:val="a"/>
    <w:link w:val="20"/>
    <w:uiPriority w:val="99"/>
    <w:qFormat/>
    <w:rsid w:val="00C740DE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  <w:lang w:val="en-CA" w:eastAsia="en-CA"/>
    </w:rPr>
  </w:style>
  <w:style w:type="paragraph" w:styleId="3">
    <w:name w:val="heading 3"/>
    <w:basedOn w:val="a"/>
    <w:next w:val="a"/>
    <w:link w:val="30"/>
    <w:uiPriority w:val="99"/>
    <w:qFormat/>
    <w:rsid w:val="00C740DE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  <w:lang w:val="en-CA" w:eastAsia="en-CA"/>
    </w:rPr>
  </w:style>
  <w:style w:type="paragraph" w:styleId="4">
    <w:name w:val="heading 4"/>
    <w:basedOn w:val="a"/>
    <w:next w:val="a"/>
    <w:link w:val="40"/>
    <w:uiPriority w:val="99"/>
    <w:qFormat/>
    <w:rsid w:val="00C740DE"/>
    <w:pPr>
      <w:keepNext/>
      <w:keepLines/>
      <w:spacing w:before="240" w:after="40"/>
      <w:outlineLvl w:val="3"/>
    </w:pPr>
    <w:rPr>
      <w:b/>
      <w:bCs/>
      <w:sz w:val="28"/>
      <w:szCs w:val="28"/>
      <w:lang w:val="en-CA" w:eastAsia="en-CA"/>
    </w:rPr>
  </w:style>
  <w:style w:type="paragraph" w:styleId="5">
    <w:name w:val="heading 5"/>
    <w:basedOn w:val="a"/>
    <w:next w:val="a"/>
    <w:link w:val="50"/>
    <w:uiPriority w:val="99"/>
    <w:qFormat/>
    <w:rsid w:val="00C740DE"/>
    <w:pPr>
      <w:keepNext/>
      <w:keepLines/>
      <w:spacing w:before="220" w:after="40"/>
      <w:outlineLvl w:val="4"/>
    </w:pPr>
    <w:rPr>
      <w:b/>
      <w:bCs/>
      <w:i/>
      <w:iCs/>
      <w:sz w:val="26"/>
      <w:szCs w:val="26"/>
      <w:lang w:val="en-CA" w:eastAsia="en-CA"/>
    </w:rPr>
  </w:style>
  <w:style w:type="paragraph" w:styleId="6">
    <w:name w:val="heading 6"/>
    <w:basedOn w:val="a"/>
    <w:next w:val="a"/>
    <w:link w:val="60"/>
    <w:uiPriority w:val="99"/>
    <w:qFormat/>
    <w:rsid w:val="00C740DE"/>
    <w:pPr>
      <w:keepNext/>
      <w:keepLines/>
      <w:spacing w:before="200" w:after="40"/>
      <w:outlineLvl w:val="5"/>
    </w:pPr>
    <w:rPr>
      <w:b/>
      <w:bCs/>
      <w:sz w:val="20"/>
      <w:szCs w:val="20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40D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C740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C740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C740D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C74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C740DE"/>
    <w:rPr>
      <w:rFonts w:ascii="Times New Roman" w:hAnsi="Times New Roman" w:cs="Times New Roman"/>
      <w:b/>
      <w:bCs/>
    </w:rPr>
  </w:style>
  <w:style w:type="paragraph" w:styleId="a3">
    <w:name w:val="Title"/>
    <w:basedOn w:val="a"/>
    <w:next w:val="a"/>
    <w:link w:val="a4"/>
    <w:uiPriority w:val="99"/>
    <w:qFormat/>
    <w:rsid w:val="00C740DE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  <w:lang w:val="en-CA" w:eastAsia="en-CA"/>
    </w:rPr>
  </w:style>
  <w:style w:type="character" w:customStyle="1" w:styleId="a4">
    <w:name w:val="Название Знак"/>
    <w:link w:val="a3"/>
    <w:uiPriority w:val="99"/>
    <w:rsid w:val="00C740D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740DE"/>
    <w:pPr>
      <w:keepNext/>
      <w:keepLines/>
      <w:spacing w:before="360" w:after="80"/>
    </w:pPr>
    <w:rPr>
      <w:rFonts w:ascii="Cambria" w:hAnsi="Cambria" w:cs="Cambria"/>
      <w:lang w:val="en-CA" w:eastAsia="en-CA"/>
    </w:rPr>
  </w:style>
  <w:style w:type="character" w:customStyle="1" w:styleId="a6">
    <w:name w:val="Подзаголовок Знак"/>
    <w:link w:val="a5"/>
    <w:uiPriority w:val="99"/>
    <w:rsid w:val="00C740DE"/>
    <w:rPr>
      <w:rFonts w:ascii="Cambria" w:hAnsi="Cambria" w:cs="Cambria"/>
      <w:sz w:val="24"/>
      <w:szCs w:val="24"/>
    </w:rPr>
  </w:style>
  <w:style w:type="paragraph" w:styleId="a7">
    <w:name w:val="List Paragraph"/>
    <w:basedOn w:val="a"/>
    <w:uiPriority w:val="99"/>
    <w:qFormat/>
    <w:rsid w:val="00C740DE"/>
    <w:pPr>
      <w:ind w:left="720"/>
    </w:pPr>
  </w:style>
  <w:style w:type="character" w:customStyle="1" w:styleId="ListParagraphChar">
    <w:name w:val="List Paragraph Char"/>
    <w:uiPriority w:val="99"/>
    <w:rsid w:val="00C740DE"/>
    <w:rPr>
      <w:rFonts w:ascii="Times New Roman" w:hAnsi="Times New Roman" w:cs="Times New Roman"/>
    </w:rPr>
  </w:style>
  <w:style w:type="character" w:styleId="a8">
    <w:name w:val="Placeholder Text"/>
    <w:uiPriority w:val="99"/>
    <w:rsid w:val="00C740DE"/>
    <w:rPr>
      <w:rFonts w:ascii="Times New Roman" w:hAnsi="Times New Roman" w:cs="Times New Roman"/>
      <w:color w:val="808080"/>
    </w:rPr>
  </w:style>
  <w:style w:type="paragraph" w:styleId="a9">
    <w:name w:val="No Spacing"/>
    <w:uiPriority w:val="99"/>
    <w:qFormat/>
    <w:rsid w:val="00C740DE"/>
    <w:rPr>
      <w:rFonts w:cs="Calibri"/>
      <w:sz w:val="22"/>
      <w:szCs w:val="22"/>
      <w:lang w:val="en-US" w:eastAsia="en-US"/>
    </w:rPr>
  </w:style>
  <w:style w:type="character" w:styleId="aa">
    <w:name w:val="Hyperlink"/>
    <w:uiPriority w:val="99"/>
    <w:rsid w:val="00C740DE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uiPriority w:val="99"/>
    <w:rsid w:val="00C740DE"/>
    <w:rPr>
      <w:rFonts w:ascii="Times New Roman" w:hAnsi="Times New Roman"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vanov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1961</Characters>
  <Application>Microsoft Office Word</Application>
  <DocSecurity>0</DocSecurity>
  <Lines>16</Lines>
  <Paragraphs>4</Paragraphs>
  <ScaleCrop>false</ScaleCrop>
  <Company>Lomonosov MSU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Электроосаждение лития в присутствии поверхностно-активных веществ</dc:title>
  <dc:subject/>
  <dc:creator>Alpatov</dc:creator>
  <cp:keywords/>
  <dc:description/>
  <cp:lastModifiedBy>Stepan</cp:lastModifiedBy>
  <cp:revision>4</cp:revision>
  <dcterms:created xsi:type="dcterms:W3CDTF">2024-02-28T09:13:00Z</dcterms:created>
  <dcterms:modified xsi:type="dcterms:W3CDTF">2024-02-28T17:26:00Z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