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hint="default"/>
          <w:i/>
          <w:iCs/>
          <w:color w:val="000000"/>
          <w:lang w:val="en-US"/>
        </w:rPr>
      </w:pPr>
    </w:p>
    <w:p>
      <w:pPr>
        <w:shd w:val="clear" w:color="auto" w:fill="FFFFFF"/>
        <w:ind w:firstLine="397"/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High energy density Ni-rich layered cathode materials with the stabilized microstructure</w:t>
      </w:r>
    </w:p>
    <w:p>
      <w:pPr>
        <w:shd w:val="clear" w:color="auto" w:fill="FFFFFF"/>
        <w:ind w:firstLine="397"/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S. Nasser (Master’s Student), A.A. Savina, A.M. Abakumov</w:t>
      </w:r>
    </w:p>
    <w:p>
      <w:pPr>
        <w:shd w:val="clear" w:color="auto" w:fill="FFFFFF"/>
        <w:ind w:firstLine="397"/>
        <w:jc w:val="center"/>
        <w:rPr>
          <w:rFonts w:hint="default"/>
          <w:b w:val="0"/>
          <w:i/>
          <w:color w:val="000000"/>
          <w:lang w:val="en-US"/>
        </w:rPr>
      </w:pPr>
      <w:r>
        <w:rPr>
          <w:b w:val="0"/>
          <w:i/>
          <w:color w:val="000000"/>
          <w:lang w:val="en-US"/>
        </w:rPr>
        <w:t>Skolkovo Institute of Science and Technology</w:t>
      </w:r>
      <w:r>
        <w:rPr>
          <w:rFonts w:hint="default"/>
          <w:b w:val="0"/>
          <w:i/>
          <w:color w:val="000000"/>
          <w:lang w:val="en-US"/>
        </w:rPr>
        <w:t>, Moscow, Russia</w:t>
      </w:r>
    </w:p>
    <w:p>
      <w:pPr>
        <w:shd w:val="clear" w:color="auto" w:fill="FFFFFF"/>
        <w:ind w:firstLine="397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 xml:space="preserve">e-mail: </w:t>
      </w:r>
      <w:r>
        <w:rPr>
          <w:lang w:val="en-US"/>
        </w:rPr>
        <w:t>sara.nasser@skoltech.ru</w:t>
      </w:r>
    </w:p>
    <w:p>
      <w:pPr>
        <w:shd w:val="clear" w:color="auto" w:fill="FFFFFF"/>
        <w:ind w:firstLine="397"/>
        <w:jc w:val="both"/>
        <w:rPr>
          <w:rFonts w:hAnsi="Cambria Math"/>
          <w:lang w:val="en-US"/>
        </w:rPr>
      </w:pPr>
      <w:r>
        <w:rPr>
          <w:rFonts w:hAnsi="Cambria Math"/>
          <w:lang w:val="en-GB"/>
        </w:rPr>
        <w:t xml:space="preserve">Lithium-ion batteries (LIBs) are a type of rechargeable battery widely used in electric vehicles and </w:t>
      </w:r>
      <w:r>
        <w:rPr>
          <w:rFonts w:hAnsi="Cambria Math"/>
          <w:lang w:val="en-US"/>
        </w:rPr>
        <w:t xml:space="preserve">other </w:t>
      </w:r>
      <w:r>
        <w:rPr>
          <w:rFonts w:hAnsi="Cambria Math"/>
          <w:lang w:val="en-GB"/>
        </w:rPr>
        <w:t>energy storage systems. The global</w:t>
      </w:r>
      <w:r>
        <w:rPr>
          <w:rFonts w:hAnsi="Cambria Math"/>
          <w:lang w:val="en-US"/>
        </w:rPr>
        <w:t xml:space="preserve"> </w:t>
      </w:r>
      <w:r>
        <w:rPr>
          <w:rFonts w:hAnsi="Cambria Math"/>
          <w:lang w:val="en-GB"/>
        </w:rPr>
        <w:t>LIBs market size was valued at USD 41.97 billion in 2021 and is expected to</w:t>
      </w:r>
      <w:r>
        <w:rPr>
          <w:rFonts w:hAnsi="Cambria Math"/>
          <w:lang w:val="en-US"/>
        </w:rPr>
        <w:t xml:space="preserve"> </w:t>
      </w:r>
      <w:r>
        <w:rPr>
          <w:rFonts w:hAnsi="Cambria Math"/>
          <w:lang w:val="en-GB"/>
        </w:rPr>
        <w:t>expand at a compound annual growth</w:t>
      </w:r>
      <w:r>
        <w:rPr>
          <w:rFonts w:hAnsi="Cambria Math"/>
          <w:lang w:val="en-US"/>
        </w:rPr>
        <w:t xml:space="preserve"> </w:t>
      </w:r>
      <w:r>
        <w:rPr>
          <w:rFonts w:hAnsi="Cambria Math"/>
          <w:lang w:val="en-GB"/>
        </w:rPr>
        <w:t xml:space="preserve">rate of 18.1% from 2022 to 2030. </w:t>
      </w:r>
      <w:r>
        <w:rPr>
          <w:rFonts w:hint="default" w:hAnsi="Cambria Math"/>
          <w:lang w:val="en-GB"/>
        </w:rPr>
        <w:t>Since the cathode material has a crucial role in any battery performance and</w:t>
      </w:r>
      <w:r>
        <w:rPr>
          <w:rFonts w:hint="default" w:hAnsi="Cambria Math"/>
          <w:lang w:val="en-US"/>
        </w:rPr>
        <w:t xml:space="preserve"> </w:t>
      </w:r>
      <w:r>
        <w:rPr>
          <w:rFonts w:hint="default" w:hAnsi="Cambria Math"/>
          <w:lang w:val="en-GB"/>
        </w:rPr>
        <w:t>cost</w:t>
      </w:r>
      <w:r>
        <w:rPr>
          <w:rFonts w:hint="default" w:hAnsi="Cambria Math"/>
          <w:lang w:val="en-US"/>
        </w:rPr>
        <w:t>, l</w:t>
      </w:r>
      <w:r>
        <w:rPr>
          <w:rFonts w:hAnsi="Cambria Math"/>
          <w:lang w:val="en-GB"/>
        </w:rPr>
        <w:t>ayered oxides of transition metals and lithium LiNi</w:t>
      </w:r>
      <w:r>
        <w:rPr>
          <w:rFonts w:hAnsi="Cambria Math"/>
          <w:vertAlign w:val="subscript"/>
          <w:lang w:val="en-US"/>
        </w:rPr>
        <w:t>x</w:t>
      </w:r>
      <w:r>
        <w:rPr>
          <w:rFonts w:hAnsi="Cambria Math"/>
          <w:lang w:val="en-GB"/>
        </w:rPr>
        <w:t>Mn</w:t>
      </w:r>
      <w:r>
        <w:rPr>
          <w:rFonts w:hAnsi="Cambria Math"/>
          <w:vertAlign w:val="subscript"/>
          <w:lang w:val="en-US"/>
        </w:rPr>
        <w:t>y</w:t>
      </w:r>
      <w:r>
        <w:rPr>
          <w:rFonts w:hAnsi="Cambria Math"/>
          <w:lang w:val="en-GB"/>
        </w:rPr>
        <w:t>Co</w:t>
      </w:r>
      <w:r>
        <w:rPr>
          <w:rFonts w:hAnsi="Cambria Math"/>
          <w:vertAlign w:val="subscript"/>
          <w:lang w:val="en-US"/>
        </w:rPr>
        <w:t>z</w:t>
      </w:r>
      <w:r>
        <w:rPr>
          <w:rFonts w:hAnsi="Cambria Math"/>
          <w:lang w:val="en-GB"/>
        </w:rPr>
        <w:t>O</w:t>
      </w:r>
      <w:r>
        <w:rPr>
          <w:rFonts w:hAnsi="Cambria Math"/>
          <w:vertAlign w:val="subscript"/>
          <w:lang w:val="en-US"/>
        </w:rPr>
        <w:t>2</w:t>
      </w:r>
      <w:r>
        <w:rPr>
          <w:rFonts w:hAnsi="Cambria Math"/>
          <w:lang w:val="en-GB"/>
        </w:rPr>
        <w:t xml:space="preserve"> (NMC, x+y+z=1) are widely embraced</w:t>
      </w:r>
      <w:r>
        <w:rPr>
          <w:rFonts w:hAnsi="Cambria Math"/>
          <w:lang w:val="en-US"/>
        </w:rPr>
        <w:t xml:space="preserve"> </w:t>
      </w:r>
      <w:r>
        <w:rPr>
          <w:rFonts w:hAnsi="Cambria Math"/>
          <w:lang w:val="en-GB"/>
        </w:rPr>
        <w:t>as cathodes for next generation LIBs</w:t>
      </w:r>
      <w:r>
        <w:rPr>
          <w:rFonts w:hint="default" w:hAnsi="Cambria Math"/>
          <w:lang w:val="en-US"/>
        </w:rPr>
        <w:t xml:space="preserve"> as they provide high specific capacity up to 220 mAhg</w:t>
      </w:r>
      <w:r>
        <w:rPr>
          <w:rFonts w:hint="default" w:hAnsi="Cambria Math"/>
          <w:vertAlign w:val="superscript"/>
          <w:lang w:val="en-US"/>
        </w:rPr>
        <w:t>-1</w:t>
      </w:r>
      <w:r>
        <w:rPr>
          <w:rFonts w:hint="default" w:hAnsi="Cambria Math"/>
          <w:vertAlign w:val="baseline"/>
          <w:lang w:val="en-US"/>
        </w:rPr>
        <w:t xml:space="preserve"> and high energy density up to 900 Whkg</w:t>
      </w:r>
      <w:r>
        <w:rPr>
          <w:rFonts w:hint="default" w:hAnsi="Cambria Math"/>
          <w:vertAlign w:val="superscript"/>
          <w:lang w:val="en-US"/>
        </w:rPr>
        <w:t>-1</w:t>
      </w:r>
      <w:r>
        <w:rPr>
          <w:rFonts w:hAnsi="Cambria Math"/>
          <w:lang w:val="en-GB"/>
        </w:rPr>
        <w:t>. The physical and chemical</w:t>
      </w:r>
      <w:r>
        <w:rPr>
          <w:rFonts w:hAnsi="Cambria Math"/>
          <w:lang w:val="en-US"/>
        </w:rPr>
        <w:t xml:space="preserve"> properties of these compositions may vary depending on the percentage of each element present</w:t>
      </w:r>
      <w:r>
        <w:rPr>
          <w:rFonts w:hint="default" w:hAnsi="Cambria Math"/>
          <w:lang w:val="en-US"/>
        </w:rPr>
        <w:t>[1-3]</w:t>
      </w:r>
      <w:r>
        <w:rPr>
          <w:rFonts w:hAnsi="Cambria Math"/>
          <w:lang w:val="en-US"/>
        </w:rPr>
        <w:t xml:space="preserve">. </w:t>
      </w:r>
    </w:p>
    <w:p>
      <w:pPr>
        <w:shd w:val="clear" w:color="auto" w:fill="FFFFFF"/>
        <w:ind w:firstLine="397"/>
        <w:jc w:val="both"/>
        <w:rPr>
          <w:lang w:val="en-US"/>
        </w:rPr>
      </w:pPr>
      <w:r>
        <w:rPr>
          <w:rFonts w:hAnsi="Cambria Math"/>
          <w:lang w:val="en-US"/>
        </w:rPr>
        <w:t xml:space="preserve">However, </w:t>
      </w:r>
      <w:r>
        <w:rPr>
          <w:rFonts w:hint="default" w:hAnsi="Cambria Math"/>
          <w:lang w:val="en-US"/>
        </w:rPr>
        <w:t>They still have some drawbacks, mainly the micro-crack evolution during electrochemical cycling which leads to poor capacity retention.</w:t>
      </w:r>
      <w:r>
        <w:rPr>
          <w:rFonts w:hAnsi="Cambria Math"/>
          <w:lang w:val="en-US"/>
        </w:rPr>
        <w:t xml:space="preserve"> There are many approaches to enhance their performance. Among them, approach based on obtaining NMC with </w:t>
      </w:r>
      <w:r>
        <w:rPr>
          <w:rFonts w:hAnsi="Cambria Math"/>
          <w:b/>
          <w:bCs/>
          <w:lang w:val="en-US"/>
        </w:rPr>
        <w:t>c</w:t>
      </w:r>
      <w:r>
        <w:rPr>
          <w:b/>
          <w:bCs/>
          <w:lang w:val="en-US"/>
        </w:rPr>
        <w:t>oncentration gradient structures</w:t>
      </w:r>
      <w:r>
        <w:rPr>
          <w:lang w:val="en-US"/>
        </w:rPr>
        <w:t xml:space="preserve"> comes in place as an interesting research topic to dig deeper in. </w:t>
      </w:r>
    </w:p>
    <w:p>
      <w:pPr>
        <w:ind w:firstLine="240" w:firstLineChars="100"/>
        <w:jc w:val="both"/>
        <w:rPr>
          <w:lang w:val="en-US"/>
        </w:rPr>
      </w:pPr>
      <w:r>
        <w:rPr>
          <w:lang w:val="en-US"/>
        </w:rPr>
        <w:t xml:space="preserve">The main goal this work is optimizing the synthesis of Ni-rich NMCs following concentration gradient approach using co-precipitation method. This research establishes a better understanding of the synthesis set-up and how synthesis parameters reflect on the microstructure and the performance of the cathode materials. For this, a </w:t>
      </w:r>
      <w:r>
        <w:rPr>
          <w:color w:val="000000"/>
          <w:lang w:val="en-US"/>
        </w:rPr>
        <w:t xml:space="preserve">series of Ni-rich NMC with different type of gradient concentration structures was prepared via co-precipitation technique followed by high temperature annealing with Li source. The obtained materials are single-phase and adopt the layered </w:t>
      </w:r>
      <w:r>
        <w:rPr>
          <w:color w:val="000000"/>
        </w:rPr>
        <w:t>α</w:t>
      </w:r>
      <w:r>
        <w:rPr>
          <w:color w:val="000000"/>
          <w:lang w:val="en-US"/>
        </w:rPr>
        <w:t>-NaFeO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 structure (space group </w:t>
      </w:r>
      <w:r>
        <w:rPr>
          <w:i/>
          <w:color w:val="000000"/>
          <w:lang w:val="en-US"/>
        </w:rPr>
        <w:t>R</w:t>
      </w:r>
      <w:r>
        <w:rPr>
          <w:color w:val="000000"/>
          <w:lang w:val="en-US"/>
        </w:rPr>
        <w:t>-3</w:t>
      </w:r>
      <w:r>
        <w:rPr>
          <w:i/>
          <w:color w:val="000000"/>
          <w:lang w:val="en-US"/>
        </w:rPr>
        <w:t>m</w:t>
      </w:r>
      <w:r>
        <w:rPr>
          <w:color w:val="000000"/>
          <w:lang w:val="en-US"/>
        </w:rPr>
        <w:t xml:space="preserve">). According to SEM analysis, the secondary particles in the materials </w:t>
      </w:r>
      <w:r>
        <w:rPr>
          <w:lang w:val="en-US"/>
        </w:rPr>
        <w:t>have a roundish</w:t>
      </w:r>
      <w:r>
        <w:rPr>
          <w:color w:val="000000"/>
          <w:lang w:val="en-US"/>
        </w:rPr>
        <w:t xml:space="preserve"> shape with 8-10 </w:t>
      </w:r>
      <w:r>
        <w:rPr>
          <w:color w:val="000000"/>
        </w:rPr>
        <w:t>μ</w:t>
      </w:r>
      <w:r>
        <w:rPr>
          <w:color w:val="000000"/>
          <w:lang w:val="en-US"/>
        </w:rPr>
        <w:t xml:space="preserve">m in diameter and consist of sheet-like primary particles. The gradient structured Ni-rich NMCs </w:t>
      </w:r>
      <w:r>
        <w:rPr>
          <w:highlight w:val="white"/>
          <w:lang w:val="en-US"/>
        </w:rPr>
        <w:t xml:space="preserve">demonstrate greatly improved cycling stability compared to </w:t>
      </w:r>
      <w:r>
        <w:rPr>
          <w:rFonts w:hint="default"/>
          <w:highlight w:val="white"/>
          <w:lang w:val="en-US"/>
        </w:rPr>
        <w:t xml:space="preserve">pristine </w:t>
      </w:r>
      <w:r>
        <w:rPr>
          <w:highlight w:val="white"/>
          <w:lang w:val="en-US"/>
        </w:rPr>
        <w:t>Ni-rich NMCs</w:t>
      </w:r>
      <w:r>
        <w:rPr>
          <w:lang w:val="en-US"/>
        </w:rPr>
        <w:t xml:space="preserve"> with the similar composition, </w:t>
      </w:r>
      <w:r>
        <w:rPr>
          <w:highlight w:val="white"/>
          <w:lang w:val="en-US"/>
        </w:rPr>
        <w:t>as well as good rate capability</w:t>
      </w:r>
      <w:r>
        <w:rPr>
          <w:lang w:val="en-US"/>
        </w:rPr>
        <w:t xml:space="preserve">. The boost in capacity retention is attributed to the synergetic effect of the compositional gradient and resulting microstructure organization. </w:t>
      </w:r>
    </w:p>
    <w:p>
      <w:pPr>
        <w:ind w:firstLine="240" w:firstLineChars="100"/>
        <w:jc w:val="both"/>
        <w:rPr>
          <w:rFonts w:hint="default"/>
          <w:i/>
          <w:color w:val="000000"/>
          <w:lang w:val="en-US"/>
        </w:rPr>
      </w:pPr>
    </w:p>
    <w:p>
      <w:pPr>
        <w:ind w:firstLine="240" w:firstLineChars="100"/>
        <w:jc w:val="both"/>
        <w:rPr>
          <w:rFonts w:hint="default"/>
          <w:i/>
          <w:color w:val="000000"/>
          <w:lang w:val="en-U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hint="default"/>
          <w:b/>
          <w:color w:val="000000"/>
          <w:lang w:val="en-US"/>
        </w:rPr>
      </w:pPr>
      <w:r>
        <w:rPr>
          <w:rFonts w:hint="default"/>
          <w:b/>
          <w:color w:val="000000"/>
          <w:lang w:val="en-US"/>
        </w:rPr>
        <w:t>Literature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hint="default"/>
          <w:b/>
          <w:color w:val="auto"/>
          <w:lang w:val="en-US"/>
        </w:rPr>
      </w:pPr>
      <w:r>
        <w:rPr>
          <w:rFonts w:hint="default"/>
          <w:b/>
          <w:color w:val="auto"/>
          <w:lang w:val="en-US"/>
        </w:rPr>
        <w:fldChar w:fldCharType="begin"/>
      </w:r>
      <w:r>
        <w:rPr>
          <w:rFonts w:hint="default"/>
          <w:b/>
          <w:color w:val="auto"/>
          <w:lang w:val="en-US"/>
        </w:rPr>
        <w:instrText xml:space="preserve"> HYPERLINK "https://www.grandviewresearch.com/industry-analysis/lithium-ion-battery-market." </w:instrText>
      </w:r>
      <w:r>
        <w:rPr>
          <w:rFonts w:hint="default"/>
          <w:b/>
          <w:color w:val="auto"/>
          <w:lang w:val="en-US"/>
        </w:rPr>
        <w:fldChar w:fldCharType="separate"/>
      </w:r>
      <w:r>
        <w:rPr>
          <w:rStyle w:val="12"/>
          <w:rFonts w:hint="default"/>
          <w:b/>
          <w:color w:val="auto"/>
          <w:lang w:val="en-US"/>
        </w:rPr>
        <w:t>https://www.grandviewresearch.com/industry-analysis/lithium-ion-battery-market.</w:t>
      </w:r>
      <w:r>
        <w:rPr>
          <w:rFonts w:hint="default"/>
          <w:b/>
          <w:color w:val="auto"/>
          <w:lang w:val="en-US"/>
        </w:rPr>
        <w:fldChar w:fldCharType="end"/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hint="default"/>
          <w:b/>
          <w:color w:val="000000"/>
          <w:lang w:val="en-US"/>
        </w:rPr>
      </w:pPr>
      <w:r>
        <w:rPr>
          <w:rFonts w:hint="default"/>
          <w:b/>
          <w:color w:val="000000"/>
          <w:lang w:val="en-US"/>
        </w:rPr>
        <w:t>Manthiram, Arumugam, et al. "Nickel‐rich and lithium‐rich layered oxide cathodes: progress and perspectives." Advanced Energy Materials 6.1 (2016): 1501010.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hint="default"/>
          <w:b/>
          <w:color w:val="000000"/>
          <w:lang w:val="en-US"/>
        </w:rPr>
      </w:pPr>
      <w:r>
        <w:rPr>
          <w:rFonts w:hint="default"/>
          <w:b/>
          <w:color w:val="000000"/>
          <w:lang w:val="en-US"/>
        </w:rPr>
        <w:t>Deng, Da. "Li‐ion batteries: basics, progress, and challenges." Energy Science &amp; Engineering 3.5 (2015): 385-418.</w:t>
      </w:r>
    </w:p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hint="default"/>
          <w:b/>
          <w:color w:val="000000"/>
          <w:lang w:val="en-US"/>
        </w:rPr>
      </w:pPr>
    </w:p>
    <w:p>
      <w:pPr>
        <w:ind w:firstLine="240" w:firstLineChars="100"/>
        <w:jc w:val="both"/>
        <w:rPr>
          <w:lang w:val="en-US"/>
        </w:rPr>
      </w:pPr>
    </w:p>
    <w:p>
      <w:pPr>
        <w:ind w:firstLine="240" w:firstLineChars="100"/>
        <w:jc w:val="both"/>
        <w:rPr>
          <w:i/>
          <w:color w:val="000000"/>
          <w:lang w:val="en-US"/>
        </w:rPr>
      </w:pPr>
      <w:r>
        <w:rPr>
          <w:i/>
          <w:color w:val="000000"/>
          <w:lang w:val="en-US"/>
        </w:rPr>
        <w:t>This work was supported by the Russian Science Foundation (grant 23-73-30003).</w:t>
      </w:r>
    </w:p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hint="default"/>
          <w:b/>
          <w:color w:val="000000"/>
          <w:lang w:val="en-US"/>
        </w:rPr>
      </w:pPr>
      <w:bookmarkStart w:id="0" w:name="_GoBack"/>
      <w:bookmarkEnd w:id="0"/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B7686"/>
    <w:multiLevelType w:val="singleLevel"/>
    <w:tmpl w:val="931B768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  <w:rsid w:val="23915BD5"/>
    <w:rsid w:val="4241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uiPriority w:val="99"/>
    <w:rPr>
      <w:sz w:val="16"/>
      <w:szCs w:val="16"/>
    </w:rPr>
  </w:style>
  <w:style w:type="paragraph" w:styleId="11">
    <w:name w:val="annotation text"/>
    <w:basedOn w:val="1"/>
    <w:semiHidden/>
    <w:unhideWhenUsed/>
    <w:qFormat/>
    <w:uiPriority w:val="99"/>
    <w:rPr>
      <w:sz w:val="20"/>
      <w:szCs w:val="20"/>
    </w:r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link w:val="18"/>
    <w:qFormat/>
    <w:uiPriority w:val="34"/>
    <w:pPr>
      <w:ind w:left="720"/>
      <w:contextualSpacing/>
    </w:pPr>
  </w:style>
  <w:style w:type="character" w:customStyle="1" w:styleId="18">
    <w:name w:val="Абзац списка Знак"/>
    <w:basedOn w:val="8"/>
    <w:link w:val="17"/>
    <w:qFormat/>
    <w:locked/>
    <w:uiPriority w:val="34"/>
  </w:style>
  <w:style w:type="character" w:styleId="19">
    <w:name w:val="Placeholder Text"/>
    <w:basedOn w:val="8"/>
    <w:semiHidden/>
    <w:qFormat/>
    <w:uiPriority w:val="99"/>
    <w:rPr>
      <w:color w:val="808080"/>
    </w:rPr>
  </w:style>
  <w:style w:type="paragraph" w:styleId="20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customStyle="1" w:styleId="2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Lomonosov MSU</Company>
  <Pages>2</Pages>
  <Words>732</Words>
  <Characters>4173</Characters>
  <Lines>34</Lines>
  <Paragraphs>9</Paragraphs>
  <TotalTime>18</TotalTime>
  <ScaleCrop>false</ScaleCrop>
  <LinksUpToDate>false</LinksUpToDate>
  <CharactersWithSpaces>4896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2022-11-07T09:18:00Z</dcterms:created>
  <dc:creator>Windows.10</dc:creator>
  <cp:lastModifiedBy>sara nasser</cp:lastModifiedBy>
  <dcterms:modified xsi:type="dcterms:W3CDTF">2024-02-16T17:17:06Z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1033-12.2.0.13431</vt:lpwstr>
  </property>
  <property fmtid="{D5CDD505-2E9C-101B-9397-08002B2CF9AE}" pid="26" name="ICV">
    <vt:lpwstr>10AEE4928BEC48B6B813C7C8CB1FD9F8_13</vt:lpwstr>
  </property>
</Properties>
</file>