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84B53" w14:textId="77777777" w:rsidR="005E0789" w:rsidRDefault="001B540E">
      <w:pPr>
        <w:ind w:leftChars="70" w:left="147"/>
        <w:jc w:val="center"/>
        <w:rPr>
          <w:rFonts w:eastAsia="DengXian"/>
          <w:b/>
          <w:bCs/>
          <w:sz w:val="24"/>
          <w:lang w:val="ru-RU"/>
        </w:rPr>
      </w:pPr>
      <w:r>
        <w:rPr>
          <w:rFonts w:eastAsia="DengXian"/>
          <w:b/>
          <w:bCs/>
          <w:sz w:val="24"/>
          <w:lang w:val="ru-RU"/>
        </w:rPr>
        <w:t xml:space="preserve">Исследование водоснабжения в городе </w:t>
      </w:r>
      <w:proofErr w:type="spellStart"/>
      <w:r>
        <w:rPr>
          <w:rFonts w:eastAsia="DengXian"/>
          <w:b/>
          <w:bCs/>
          <w:sz w:val="24"/>
          <w:lang w:val="ru-RU"/>
        </w:rPr>
        <w:t>Тайань</w:t>
      </w:r>
      <w:proofErr w:type="spellEnd"/>
      <w:r>
        <w:rPr>
          <w:rFonts w:eastAsia="DengXian"/>
          <w:b/>
          <w:bCs/>
          <w:sz w:val="24"/>
          <w:lang w:val="ru-RU"/>
        </w:rPr>
        <w:t xml:space="preserve"> на основе нейронной сети BP</w:t>
      </w:r>
    </w:p>
    <w:p w14:paraId="3CA84B54" w14:textId="77777777" w:rsidR="005E0789" w:rsidRDefault="001B540E">
      <w:pPr>
        <w:ind w:leftChars="70" w:left="147"/>
        <w:jc w:val="center"/>
        <w:rPr>
          <w:rFonts w:eastAsia="DengXian"/>
          <w:b/>
          <w:bCs/>
          <w:i/>
          <w:iCs/>
          <w:sz w:val="24"/>
          <w:lang w:val="ru-RU"/>
        </w:rPr>
      </w:pPr>
      <w:r>
        <w:rPr>
          <w:rFonts w:eastAsia="DengXian"/>
          <w:b/>
          <w:bCs/>
          <w:i/>
          <w:iCs/>
          <w:sz w:val="24"/>
          <w:lang w:val="ru-RU"/>
        </w:rPr>
        <w:t xml:space="preserve"> Ху </w:t>
      </w:r>
      <w:proofErr w:type="spellStart"/>
      <w:r>
        <w:rPr>
          <w:rFonts w:eastAsia="DengXian"/>
          <w:b/>
          <w:bCs/>
          <w:i/>
          <w:iCs/>
          <w:sz w:val="24"/>
          <w:lang w:val="ru-RU"/>
        </w:rPr>
        <w:t>Вэньчжэ</w:t>
      </w:r>
      <w:proofErr w:type="spellEnd"/>
    </w:p>
    <w:p w14:paraId="3CA84B55" w14:textId="77777777" w:rsidR="005E0789" w:rsidRDefault="001B540E">
      <w:pPr>
        <w:ind w:leftChars="70" w:left="147"/>
        <w:jc w:val="center"/>
        <w:rPr>
          <w:rFonts w:eastAsia="Segoe UI"/>
          <w:iCs/>
          <w:sz w:val="24"/>
          <w:shd w:val="clear" w:color="auto" w:fill="FFFFFF"/>
          <w:lang w:val="ru-RU"/>
        </w:rPr>
      </w:pPr>
      <w:r>
        <w:rPr>
          <w:rFonts w:eastAsia="Segoe UI"/>
          <w:iCs/>
          <w:sz w:val="24"/>
          <w:shd w:val="clear" w:color="auto" w:fill="FFFFFF"/>
          <w:lang w:val="ru-RU"/>
        </w:rPr>
        <w:t>Студент (магистр)</w:t>
      </w:r>
    </w:p>
    <w:p w14:paraId="3CA84B56" w14:textId="77777777" w:rsidR="005E0789" w:rsidRDefault="001B540E">
      <w:pPr>
        <w:ind w:left="168" w:firstLineChars="100" w:firstLine="240"/>
        <w:jc w:val="center"/>
        <w:rPr>
          <w:rFonts w:eastAsia="Segoe UI"/>
          <w:sz w:val="24"/>
          <w:shd w:val="clear" w:color="auto" w:fill="FFFFFF"/>
          <w:lang w:val="ru-RU"/>
        </w:rPr>
      </w:pPr>
      <w:r>
        <w:rPr>
          <w:rStyle w:val="a3"/>
          <w:i w:val="0"/>
          <w:iCs w:val="0"/>
          <w:color w:val="353535"/>
          <w:sz w:val="24"/>
          <w:shd w:val="clear" w:color="auto" w:fill="FFFFFF"/>
          <w:lang w:val="ru-RU"/>
        </w:rPr>
        <w:t>Московский государственный университет имени М.В.Ломоносова,</w:t>
      </w:r>
    </w:p>
    <w:p w14:paraId="3CA84B57" w14:textId="77777777" w:rsidR="005E0789" w:rsidRDefault="001B540E">
      <w:pPr>
        <w:ind w:leftChars="70" w:left="147"/>
        <w:jc w:val="center"/>
        <w:rPr>
          <w:rFonts w:eastAsia="Segoe UI"/>
          <w:sz w:val="24"/>
          <w:shd w:val="clear" w:color="auto" w:fill="FFFFFF"/>
          <w:lang w:val="ru-RU"/>
        </w:rPr>
      </w:pPr>
      <w:r>
        <w:rPr>
          <w:rFonts w:eastAsia="Segoe UI"/>
          <w:sz w:val="24"/>
          <w:shd w:val="clear" w:color="auto" w:fill="FFFFFF"/>
          <w:lang w:val="ru-RU"/>
        </w:rPr>
        <w:t>Институт русского языка и культуры, Москва</w:t>
      </w:r>
      <w:r>
        <w:rPr>
          <w:rFonts w:hint="eastAsia"/>
          <w:sz w:val="24"/>
          <w:shd w:val="clear" w:color="auto" w:fill="FFFFFF"/>
          <w:lang w:val="ru-RU"/>
        </w:rPr>
        <w:t>,</w:t>
      </w:r>
      <w:r>
        <w:rPr>
          <w:rFonts w:eastAsia="Segoe UI"/>
          <w:sz w:val="24"/>
          <w:shd w:val="clear" w:color="auto" w:fill="FFFFFF"/>
          <w:lang w:val="ru-RU"/>
        </w:rPr>
        <w:t xml:space="preserve"> Россия</w:t>
      </w:r>
    </w:p>
    <w:p w14:paraId="3CA84B58" w14:textId="6E4112BB" w:rsidR="005E0789" w:rsidRDefault="001B540E">
      <w:pPr>
        <w:ind w:leftChars="70" w:left="147"/>
        <w:jc w:val="center"/>
        <w:rPr>
          <w:i/>
          <w:iCs/>
          <w:color w:val="2C2D2E"/>
          <w:sz w:val="24"/>
          <w:shd w:val="clear" w:color="auto" w:fill="FFFFFF"/>
          <w:lang w:val="ru-RU"/>
        </w:rPr>
      </w:pPr>
      <w:r>
        <w:rPr>
          <w:rStyle w:val="a3"/>
          <w:i w:val="0"/>
          <w:iCs w:val="0"/>
          <w:color w:val="353535"/>
          <w:sz w:val="24"/>
          <w:shd w:val="clear" w:color="auto" w:fill="FFFFFF"/>
        </w:rPr>
        <w:t>E</w:t>
      </w:r>
      <w:r>
        <w:rPr>
          <w:rStyle w:val="a3"/>
          <w:i w:val="0"/>
          <w:iCs w:val="0"/>
          <w:color w:val="353535"/>
          <w:sz w:val="24"/>
          <w:shd w:val="clear" w:color="auto" w:fill="FFFFFF"/>
          <w:lang w:val="ru-RU"/>
        </w:rPr>
        <w:t>–</w:t>
      </w:r>
      <w:r>
        <w:rPr>
          <w:rStyle w:val="a3"/>
          <w:rFonts w:hint="eastAsia"/>
          <w:i w:val="0"/>
          <w:iCs w:val="0"/>
          <w:color w:val="353535"/>
          <w:sz w:val="24"/>
          <w:shd w:val="clear" w:color="auto" w:fill="FFFFFF"/>
        </w:rPr>
        <w:t>mail</w:t>
      </w:r>
      <w:r>
        <w:rPr>
          <w:rStyle w:val="a3"/>
          <w:rFonts w:hint="eastAsia"/>
          <w:i w:val="0"/>
          <w:iCs w:val="0"/>
          <w:color w:val="353535"/>
          <w:sz w:val="24"/>
          <w:shd w:val="clear" w:color="auto" w:fill="FFFFFF"/>
          <w:lang w:val="ru-RU"/>
        </w:rPr>
        <w:t>:</w:t>
      </w:r>
      <w:r>
        <w:rPr>
          <w:rStyle w:val="a3"/>
          <w:i w:val="0"/>
          <w:iCs w:val="0"/>
          <w:color w:val="353535"/>
          <w:sz w:val="24"/>
          <w:shd w:val="clear" w:color="auto" w:fill="FFFFFF"/>
          <w:lang w:val="ru-RU"/>
        </w:rPr>
        <w:t xml:space="preserve"> </w:t>
      </w:r>
      <w:r>
        <w:rPr>
          <w:rStyle w:val="a3"/>
          <w:rFonts w:hint="eastAsia"/>
          <w:i w:val="0"/>
          <w:iCs w:val="0"/>
          <w:color w:val="353535"/>
          <w:sz w:val="24"/>
          <w:shd w:val="clear" w:color="auto" w:fill="FFFFFF"/>
        </w:rPr>
        <w:t>hu</w:t>
      </w:r>
      <w:r>
        <w:rPr>
          <w:rStyle w:val="a3"/>
          <w:rFonts w:hint="eastAsia"/>
          <w:i w:val="0"/>
          <w:iCs w:val="0"/>
          <w:color w:val="353535"/>
          <w:sz w:val="24"/>
          <w:shd w:val="clear" w:color="auto" w:fill="FFFFFF"/>
          <w:lang w:val="ru-RU"/>
        </w:rPr>
        <w:t>17853703877@</w:t>
      </w:r>
      <w:proofErr w:type="spellStart"/>
      <w:r>
        <w:rPr>
          <w:rStyle w:val="a3"/>
          <w:rFonts w:hint="eastAsia"/>
          <w:i w:val="0"/>
          <w:iCs w:val="0"/>
          <w:color w:val="353535"/>
          <w:sz w:val="24"/>
          <w:shd w:val="clear" w:color="auto" w:fill="FFFFFF"/>
        </w:rPr>
        <w:t>qq</w:t>
      </w:r>
      <w:proofErr w:type="spellEnd"/>
      <w:r>
        <w:rPr>
          <w:rStyle w:val="a3"/>
          <w:rFonts w:hint="eastAsia"/>
          <w:i w:val="0"/>
          <w:iCs w:val="0"/>
          <w:color w:val="353535"/>
          <w:sz w:val="24"/>
          <w:shd w:val="clear" w:color="auto" w:fill="FFFFFF"/>
          <w:lang w:val="ru-RU"/>
        </w:rPr>
        <w:t>.</w:t>
      </w:r>
      <w:proofErr w:type="spellStart"/>
      <w:r>
        <w:rPr>
          <w:rStyle w:val="a3"/>
          <w:rFonts w:hint="eastAsia"/>
          <w:i w:val="0"/>
          <w:iCs w:val="0"/>
          <w:color w:val="353535"/>
          <w:sz w:val="24"/>
          <w:shd w:val="clear" w:color="auto" w:fill="FFFFFF"/>
          <w:lang w:val="ru-RU"/>
        </w:rPr>
        <w:t>com</w:t>
      </w:r>
      <w:proofErr w:type="spellEnd"/>
    </w:p>
    <w:p w14:paraId="16B9BAD4" w14:textId="77777777" w:rsidR="001B540E" w:rsidRDefault="001B540E">
      <w:pPr>
        <w:ind w:leftChars="70" w:left="147" w:firstLineChars="200" w:firstLine="480"/>
        <w:rPr>
          <w:rFonts w:eastAsia="DengXian"/>
          <w:sz w:val="24"/>
          <w:lang w:val="ru-RU"/>
        </w:rPr>
      </w:pPr>
    </w:p>
    <w:p w14:paraId="3CA84B59" w14:textId="7DE008AC" w:rsidR="005E0789" w:rsidRDefault="001B540E">
      <w:pPr>
        <w:ind w:leftChars="70" w:left="147" w:firstLineChars="200" w:firstLine="480"/>
        <w:rPr>
          <w:rFonts w:eastAsia="DengXian"/>
          <w:sz w:val="24"/>
          <w:lang w:val="ru-RU"/>
        </w:rPr>
      </w:pPr>
      <w:r>
        <w:rPr>
          <w:rFonts w:eastAsia="DengXian"/>
          <w:sz w:val="24"/>
          <w:lang w:val="ru-RU"/>
        </w:rPr>
        <w:t>Рациональное использования водных ресурсов является в настоящее время актуальной проблемой, как в Китае, так и в мире.</w:t>
      </w:r>
    </w:p>
    <w:p w14:paraId="3CA84B5A" w14:textId="77777777" w:rsidR="005E0789" w:rsidRDefault="001B540E">
      <w:pPr>
        <w:ind w:leftChars="70" w:left="147" w:firstLineChars="200" w:firstLine="480"/>
        <w:rPr>
          <w:rFonts w:eastAsia="DengXian"/>
          <w:sz w:val="24"/>
          <w:lang w:val="ru-RU"/>
        </w:rPr>
      </w:pPr>
      <w:r>
        <w:rPr>
          <w:rFonts w:eastAsia="DengXian"/>
          <w:sz w:val="24"/>
          <w:lang w:val="ru-RU"/>
        </w:rPr>
        <w:t xml:space="preserve">Цель исследования: изучение факторов, сдерживающих устойчивое развитие водных ресурсов города. Для определения водного потенциала города </w:t>
      </w:r>
      <w:proofErr w:type="spellStart"/>
      <w:r>
        <w:rPr>
          <w:rFonts w:eastAsia="DengXian"/>
          <w:sz w:val="24"/>
          <w:lang w:val="ru-RU"/>
        </w:rPr>
        <w:t>Тайань</w:t>
      </w:r>
      <w:proofErr w:type="spellEnd"/>
      <w:r>
        <w:rPr>
          <w:rFonts w:eastAsia="DengXian"/>
          <w:sz w:val="24"/>
          <w:lang w:val="ru-RU"/>
        </w:rPr>
        <w:t xml:space="preserve"> были собраны данные расхода воды, связанные с природными и социальными факторами за </w:t>
      </w:r>
      <w:proofErr w:type="gramStart"/>
      <w:r>
        <w:rPr>
          <w:rFonts w:eastAsia="DengXian"/>
          <w:sz w:val="24"/>
          <w:lang w:val="ru-RU"/>
        </w:rPr>
        <w:t>2011-2020</w:t>
      </w:r>
      <w:proofErr w:type="gramEnd"/>
      <w:r>
        <w:rPr>
          <w:rFonts w:eastAsia="DengXian"/>
          <w:sz w:val="24"/>
          <w:lang w:val="ru-RU"/>
        </w:rPr>
        <w:t xml:space="preserve"> гг. Для анализа ситуации был использован метод </w:t>
      </w:r>
      <w:proofErr w:type="gramStart"/>
      <w:r>
        <w:rPr>
          <w:rFonts w:eastAsia="DengXian"/>
          <w:sz w:val="24"/>
          <w:lang w:val="ru-RU"/>
        </w:rPr>
        <w:t>прогнозирования</w:t>
      </w:r>
      <w:r>
        <w:rPr>
          <w:rFonts w:eastAsia="DengXian" w:hint="eastAsia"/>
          <w:sz w:val="24"/>
          <w:vertAlign w:val="superscript"/>
          <w:lang w:val="ru-RU"/>
        </w:rPr>
        <w:t>[</w:t>
      </w:r>
      <w:proofErr w:type="gramEnd"/>
      <w:r>
        <w:rPr>
          <w:rFonts w:eastAsia="DengXian" w:hint="eastAsia"/>
          <w:sz w:val="24"/>
          <w:vertAlign w:val="superscript"/>
          <w:lang w:val="ru-RU"/>
        </w:rPr>
        <w:t>1]</w:t>
      </w:r>
      <w:r>
        <w:rPr>
          <w:rFonts w:eastAsia="DengXian"/>
          <w:sz w:val="24"/>
          <w:lang w:val="ru-RU"/>
        </w:rPr>
        <w:t xml:space="preserve"> на основе нейросети BP</w:t>
      </w:r>
      <w:r>
        <w:rPr>
          <w:rFonts w:eastAsia="DengXian" w:hint="eastAsia"/>
          <w:sz w:val="24"/>
          <w:vertAlign w:val="superscript"/>
          <w:lang w:val="ru-RU"/>
        </w:rPr>
        <w:t>[2]</w:t>
      </w:r>
      <w:r>
        <w:rPr>
          <w:rFonts w:eastAsia="DengXian"/>
          <w:sz w:val="24"/>
          <w:lang w:val="ru-RU"/>
        </w:rPr>
        <w:t>.</w:t>
      </w:r>
      <w:r>
        <w:rPr>
          <w:rFonts w:eastAsia="DengXian"/>
          <w:color w:val="FF0000"/>
          <w:sz w:val="24"/>
          <w:lang w:val="ru-RU"/>
        </w:rPr>
        <w:t xml:space="preserve"> </w:t>
      </w:r>
      <w:r>
        <w:rPr>
          <w:rFonts w:eastAsia="DengXian"/>
          <w:sz w:val="24"/>
          <w:lang w:val="ru-RU"/>
        </w:rPr>
        <w:t xml:space="preserve">Была построена система показателей и классификационных критериев, содержащих 11 показателей </w:t>
      </w:r>
      <w:r>
        <w:rPr>
          <w:rFonts w:eastAsia="DengXian"/>
          <w:color w:val="000000"/>
          <w:sz w:val="24"/>
          <w:lang w:val="ru-RU"/>
        </w:rPr>
        <w:t xml:space="preserve">расхода </w:t>
      </w:r>
      <w:proofErr w:type="gramStart"/>
      <w:r>
        <w:rPr>
          <w:rFonts w:eastAsia="DengXian"/>
          <w:sz w:val="24"/>
          <w:lang w:val="ru-RU"/>
        </w:rPr>
        <w:t>воды</w:t>
      </w:r>
      <w:r>
        <w:rPr>
          <w:rFonts w:eastAsia="DengXian" w:hint="eastAsia"/>
          <w:sz w:val="24"/>
          <w:vertAlign w:val="superscript"/>
          <w:lang w:val="ru-RU"/>
        </w:rPr>
        <w:t>[</w:t>
      </w:r>
      <w:proofErr w:type="gramEnd"/>
      <w:r>
        <w:rPr>
          <w:rFonts w:eastAsia="DengXian" w:hint="eastAsia"/>
          <w:sz w:val="24"/>
          <w:vertAlign w:val="superscript"/>
          <w:lang w:val="ru-RU"/>
        </w:rPr>
        <w:t>3]</w:t>
      </w:r>
      <w:r>
        <w:rPr>
          <w:rFonts w:eastAsia="DengXian"/>
          <w:sz w:val="24"/>
          <w:lang w:val="ru-RU"/>
        </w:rPr>
        <w:t xml:space="preserve">. Была построена модель оценки расходов водных ресурсов. По результатам прогноза был проведен анализ расхода воды </w:t>
      </w:r>
      <w:proofErr w:type="spellStart"/>
      <w:r>
        <w:rPr>
          <w:rFonts w:eastAsia="DengXian"/>
          <w:sz w:val="24"/>
          <w:lang w:val="ru-RU"/>
        </w:rPr>
        <w:t>Тайань</w:t>
      </w:r>
      <w:proofErr w:type="spellEnd"/>
      <w:r>
        <w:rPr>
          <w:rFonts w:eastAsia="DengXian"/>
          <w:sz w:val="24"/>
          <w:lang w:val="ru-RU"/>
        </w:rPr>
        <w:t>. Затем с использованием энтропийного метода был проведен анализ показателей, вычислены сре</w:t>
      </w:r>
      <w:r>
        <w:rPr>
          <w:rFonts w:eastAsia="DengXian"/>
          <w:sz w:val="24"/>
          <w:lang w:val="ru-RU"/>
        </w:rPr>
        <w:t xml:space="preserve">дневзвешенные величины, определены оценочные критерии для выявления факторов, влияющих на потребление воды в городе. </w:t>
      </w:r>
    </w:p>
    <w:p w14:paraId="3CA84B5B" w14:textId="64166BEF" w:rsidR="005E0789" w:rsidRDefault="001B540E">
      <w:pPr>
        <w:ind w:leftChars="70" w:left="147" w:firstLineChars="200" w:firstLine="480"/>
        <w:rPr>
          <w:rFonts w:eastAsia="DengXian"/>
          <w:sz w:val="24"/>
          <w:lang w:val="ru-RU"/>
        </w:rPr>
      </w:pPr>
      <w:r>
        <w:rPr>
          <w:rFonts w:eastAsia="DengXian"/>
          <w:sz w:val="24"/>
          <w:lang w:val="ru-RU"/>
        </w:rPr>
        <w:t>На основе полученных результатов была построена кластерная карта водных ресурсов.</w:t>
      </w:r>
    </w:p>
    <w:p w14:paraId="3CA84B5C" w14:textId="0E93729C" w:rsidR="005E0789" w:rsidRDefault="005E0789">
      <w:pPr>
        <w:ind w:firstLine="2268"/>
        <w:jc w:val="center"/>
        <w:rPr>
          <w:lang w:val="ru-RU" w:eastAsia="ru-RU"/>
        </w:rPr>
      </w:pPr>
    </w:p>
    <w:p w14:paraId="3CA84B5D" w14:textId="49A096B9" w:rsidR="005E0789" w:rsidRDefault="00935FC0">
      <w:pPr>
        <w:jc w:val="center"/>
        <w:rPr>
          <w:b/>
          <w:i/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CA84B65" wp14:editId="1718A136">
            <wp:simplePos x="0" y="0"/>
            <wp:positionH relativeFrom="column">
              <wp:posOffset>2540</wp:posOffset>
            </wp:positionH>
            <wp:positionV relativeFrom="paragraph">
              <wp:posOffset>300355</wp:posOffset>
            </wp:positionV>
            <wp:extent cx="5829300" cy="2352675"/>
            <wp:effectExtent l="0" t="0" r="0" b="9525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40E">
        <w:rPr>
          <w:i/>
          <w:lang w:val="ru-RU" w:eastAsia="ru-RU"/>
        </w:rPr>
        <w:t>Рисунок 1</w:t>
      </w:r>
    </w:p>
    <w:p w14:paraId="6825A2B4" w14:textId="77777777" w:rsidR="00CC75C6" w:rsidRDefault="00CC75C6">
      <w:pPr>
        <w:ind w:leftChars="70" w:left="147" w:firstLineChars="200" w:firstLine="480"/>
        <w:rPr>
          <w:rFonts w:eastAsia="DengXian"/>
          <w:sz w:val="24"/>
          <w:lang w:val="ru-RU"/>
        </w:rPr>
      </w:pPr>
    </w:p>
    <w:p w14:paraId="3CA84B5E" w14:textId="34B03D1F" w:rsidR="005E0789" w:rsidRDefault="001B540E">
      <w:pPr>
        <w:ind w:leftChars="70" w:left="147" w:firstLineChars="200" w:firstLine="480"/>
        <w:rPr>
          <w:rFonts w:eastAsia="DengXian"/>
          <w:sz w:val="24"/>
          <w:lang w:val="ru-RU"/>
        </w:rPr>
      </w:pPr>
      <w:r>
        <w:rPr>
          <w:rFonts w:eastAsia="DengXian"/>
          <w:sz w:val="24"/>
          <w:lang w:val="ru-RU"/>
        </w:rPr>
        <w:t xml:space="preserve">В течение исследуемых лет расходы водных ресурсов города </w:t>
      </w:r>
      <w:proofErr w:type="spellStart"/>
      <w:r>
        <w:rPr>
          <w:rFonts w:eastAsia="DengXian"/>
          <w:sz w:val="24"/>
          <w:lang w:val="ru-RU"/>
        </w:rPr>
        <w:t>Тайань</w:t>
      </w:r>
      <w:proofErr w:type="spellEnd"/>
      <w:r>
        <w:rPr>
          <w:rFonts w:eastAsia="DengXian"/>
          <w:sz w:val="24"/>
          <w:lang w:val="ru-RU"/>
        </w:rPr>
        <w:t xml:space="preserve"> демонстрируют сначала тенденцию к снижению, затем к стабилизации, и к увеличению. В 2011-2020 гг. среднегодовое количество осадков в </w:t>
      </w:r>
      <w:proofErr w:type="spellStart"/>
      <w:r>
        <w:rPr>
          <w:rFonts w:eastAsia="DengXian"/>
          <w:sz w:val="24"/>
          <w:lang w:val="ru-RU"/>
        </w:rPr>
        <w:t>Тайань</w:t>
      </w:r>
      <w:proofErr w:type="spellEnd"/>
      <w:r>
        <w:rPr>
          <w:rFonts w:eastAsia="DengXian"/>
          <w:sz w:val="24"/>
          <w:lang w:val="ru-RU"/>
        </w:rPr>
        <w:t xml:space="preserve"> составляло 695,6 м</w:t>
      </w:r>
      <w:r>
        <w:rPr>
          <w:rFonts w:eastAsia="DengXian"/>
          <w:sz w:val="24"/>
          <w:vertAlign w:val="superscript"/>
          <w:lang w:val="ru-RU"/>
        </w:rPr>
        <w:t>3,</w:t>
      </w:r>
      <w:r>
        <w:rPr>
          <w:rFonts w:eastAsia="DengXian"/>
          <w:sz w:val="24"/>
          <w:lang w:val="ru-RU"/>
        </w:rPr>
        <w:t xml:space="preserve"> а среднегодовой запас поверхностных вод города составлял 1222,97 </w:t>
      </w:r>
      <w:proofErr w:type="gramStart"/>
      <w:r>
        <w:rPr>
          <w:rFonts w:eastAsia="DengXian"/>
          <w:sz w:val="24"/>
          <w:lang w:val="ru-RU"/>
        </w:rPr>
        <w:t>млн.м</w:t>
      </w:r>
      <w:proofErr w:type="gramEnd"/>
      <w:r>
        <w:rPr>
          <w:rFonts w:eastAsia="DengXian"/>
          <w:sz w:val="24"/>
          <w:vertAlign w:val="superscript"/>
          <w:lang w:val="ru-RU"/>
        </w:rPr>
        <w:t>3</w:t>
      </w:r>
      <w:r>
        <w:rPr>
          <w:rFonts w:eastAsia="DengXian"/>
          <w:sz w:val="24"/>
          <w:lang w:val="ru-RU"/>
        </w:rPr>
        <w:t>. В среднем на душу населения приходилось 268 м</w:t>
      </w:r>
      <w:r>
        <w:rPr>
          <w:rFonts w:eastAsia="DengXian"/>
          <w:sz w:val="24"/>
          <w:vertAlign w:val="superscript"/>
          <w:lang w:val="ru-RU"/>
        </w:rPr>
        <w:t>3</w:t>
      </w:r>
      <w:r>
        <w:rPr>
          <w:rFonts w:eastAsia="DengXian"/>
          <w:sz w:val="24"/>
          <w:lang w:val="ru-RU"/>
        </w:rPr>
        <w:t>/ год. Минимальное среднегодовое количество потребляемой воды на человека, признанное международным стандартом, составляет 1000 м</w:t>
      </w:r>
      <w:r>
        <w:rPr>
          <w:rFonts w:eastAsia="DengXian"/>
          <w:sz w:val="24"/>
          <w:vertAlign w:val="superscript"/>
          <w:lang w:val="ru-RU"/>
        </w:rPr>
        <w:t>3</w:t>
      </w:r>
      <w:r>
        <w:rPr>
          <w:rFonts w:eastAsia="DengXian"/>
          <w:sz w:val="24"/>
          <w:lang w:val="ru-RU"/>
        </w:rPr>
        <w:t>.</w:t>
      </w:r>
      <w:r>
        <w:rPr>
          <w:rFonts w:eastAsia="DengXian"/>
          <w:sz w:val="24"/>
          <w:vertAlign w:val="superscript"/>
          <w:lang w:val="ru-RU"/>
        </w:rPr>
        <w:t xml:space="preserve"> </w:t>
      </w:r>
      <w:r>
        <w:rPr>
          <w:rFonts w:eastAsia="DengXian"/>
          <w:sz w:val="24"/>
          <w:lang w:val="ru-RU"/>
        </w:rPr>
        <w:t xml:space="preserve">В среднем на одного жителя </w:t>
      </w:r>
      <w:proofErr w:type="spellStart"/>
      <w:r>
        <w:rPr>
          <w:rFonts w:eastAsia="DengXian"/>
          <w:sz w:val="24"/>
          <w:lang w:val="ru-RU"/>
        </w:rPr>
        <w:t>Тайаня</w:t>
      </w:r>
      <w:proofErr w:type="spellEnd"/>
      <w:r>
        <w:rPr>
          <w:rFonts w:eastAsia="DengXian"/>
          <w:sz w:val="24"/>
          <w:lang w:val="ru-RU"/>
        </w:rPr>
        <w:t xml:space="preserve"> приходилось в 3 раза меньше воды в год, чем в среднем по ми</w:t>
      </w:r>
      <w:r>
        <w:rPr>
          <w:rFonts w:eastAsia="DengXian"/>
          <w:sz w:val="24"/>
          <w:lang w:val="ru-RU"/>
        </w:rPr>
        <w:t xml:space="preserve">ру. Выводы. Таким образом, основными факторами нехватки воды в </w:t>
      </w:r>
      <w:proofErr w:type="spellStart"/>
      <w:r>
        <w:rPr>
          <w:rFonts w:eastAsia="DengXian"/>
          <w:sz w:val="24"/>
          <w:lang w:val="ru-RU"/>
        </w:rPr>
        <w:t>Тайнане</w:t>
      </w:r>
      <w:proofErr w:type="spellEnd"/>
      <w:r>
        <w:rPr>
          <w:rFonts w:eastAsia="DengXian"/>
          <w:sz w:val="24"/>
          <w:lang w:val="ru-RU"/>
        </w:rPr>
        <w:t xml:space="preserve"> являются природные факторы. В будущем осадки также будут непосредственно влиять на пополнение водных ресурсов в </w:t>
      </w:r>
      <w:proofErr w:type="spellStart"/>
      <w:r>
        <w:rPr>
          <w:rFonts w:eastAsia="DengXian"/>
          <w:sz w:val="24"/>
          <w:lang w:val="ru-RU"/>
        </w:rPr>
        <w:t>Тайане</w:t>
      </w:r>
      <w:proofErr w:type="spellEnd"/>
      <w:r>
        <w:rPr>
          <w:rFonts w:eastAsia="DengXian"/>
          <w:sz w:val="24"/>
          <w:lang w:val="ru-RU"/>
        </w:rPr>
        <w:t>.</w:t>
      </w:r>
    </w:p>
    <w:p w14:paraId="3CA84B5F" w14:textId="77777777" w:rsidR="005E0789" w:rsidRDefault="005E0789">
      <w:pPr>
        <w:jc w:val="center"/>
        <w:rPr>
          <w:rFonts w:eastAsia="Segoe UI"/>
          <w:b/>
          <w:sz w:val="24"/>
          <w:shd w:val="clear" w:color="auto" w:fill="FFFFFF"/>
          <w:lang w:val="ru-RU"/>
        </w:rPr>
      </w:pPr>
    </w:p>
    <w:p w14:paraId="3CA84B60" w14:textId="77777777" w:rsidR="005E0789" w:rsidRDefault="001B540E">
      <w:pPr>
        <w:jc w:val="center"/>
        <w:rPr>
          <w:rFonts w:eastAsia="DengXian"/>
          <w:sz w:val="24"/>
          <w:lang w:val="ru-RU"/>
        </w:rPr>
      </w:pPr>
      <w:r>
        <w:rPr>
          <w:rFonts w:eastAsia="Segoe UI"/>
          <w:b/>
          <w:sz w:val="24"/>
          <w:shd w:val="clear" w:color="auto" w:fill="FFFFFF"/>
          <w:lang w:val="ru-RU"/>
        </w:rPr>
        <w:t>Литература</w:t>
      </w:r>
    </w:p>
    <w:p w14:paraId="3CA84B61" w14:textId="77777777" w:rsidR="005E0789" w:rsidRDefault="001B540E" w:rsidP="001B540E">
      <w:pPr>
        <w:pStyle w:val="a4"/>
        <w:ind w:firstLine="397"/>
        <w:rPr>
          <w:color w:val="FF0000"/>
          <w:sz w:val="24"/>
          <w:lang w:val="ru-RU"/>
        </w:rPr>
      </w:pPr>
      <w:r>
        <w:rPr>
          <w:sz w:val="24"/>
          <w:lang w:val="ru-RU"/>
        </w:rPr>
        <w:t>[</w:t>
      </w:r>
      <w:r>
        <w:rPr>
          <w:rFonts w:hint="eastAsia"/>
          <w:sz w:val="24"/>
          <w:lang w:val="ru-RU"/>
        </w:rPr>
        <w:t>1</w:t>
      </w:r>
      <w:r>
        <w:rPr>
          <w:sz w:val="24"/>
          <w:lang w:val="ru-RU"/>
        </w:rPr>
        <w:t xml:space="preserve">] </w:t>
      </w:r>
      <w:proofErr w:type="gramStart"/>
      <w:r>
        <w:rPr>
          <w:sz w:val="24"/>
        </w:rPr>
        <w:t>胡吉敏</w:t>
      </w:r>
      <w:r>
        <w:rPr>
          <w:sz w:val="24"/>
          <w:lang w:val="ru-RU"/>
        </w:rPr>
        <w:t>.</w:t>
      </w:r>
      <w:r>
        <w:rPr>
          <w:sz w:val="24"/>
        </w:rPr>
        <w:t>沿海地区水资源承载力评价研究</w:t>
      </w:r>
      <w:proofErr w:type="gramEnd"/>
      <w:r>
        <w:rPr>
          <w:sz w:val="24"/>
          <w:lang w:val="ru-RU"/>
        </w:rPr>
        <w:t>[</w:t>
      </w:r>
      <w:r>
        <w:rPr>
          <w:sz w:val="24"/>
        </w:rPr>
        <w:t>D</w:t>
      </w:r>
      <w:r>
        <w:rPr>
          <w:sz w:val="24"/>
          <w:lang w:val="ru-RU"/>
        </w:rPr>
        <w:t>].</w:t>
      </w:r>
      <w:r>
        <w:rPr>
          <w:sz w:val="24"/>
        </w:rPr>
        <w:t>大连</w:t>
      </w:r>
      <w:r>
        <w:rPr>
          <w:sz w:val="24"/>
          <w:lang w:val="ru-RU"/>
        </w:rPr>
        <w:t xml:space="preserve">: </w:t>
      </w:r>
      <w:r>
        <w:rPr>
          <w:sz w:val="24"/>
        </w:rPr>
        <w:t>大连理工大学</w:t>
      </w:r>
      <w:r>
        <w:rPr>
          <w:sz w:val="24"/>
          <w:lang w:val="ru-RU"/>
        </w:rPr>
        <w:t>,2008.</w:t>
      </w:r>
    </w:p>
    <w:p w14:paraId="3CA84B62" w14:textId="77777777" w:rsidR="005E0789" w:rsidRDefault="001B540E" w:rsidP="001B540E">
      <w:pPr>
        <w:pStyle w:val="a4"/>
        <w:ind w:firstLine="397"/>
        <w:rPr>
          <w:sz w:val="24"/>
          <w:lang w:val="ru-RU"/>
        </w:rPr>
      </w:pPr>
      <w:r>
        <w:rPr>
          <w:sz w:val="24"/>
          <w:lang w:val="ru-RU"/>
        </w:rPr>
        <w:t xml:space="preserve">[2] </w:t>
      </w:r>
      <w:r>
        <w:rPr>
          <w:sz w:val="24"/>
        </w:rPr>
        <w:t>安国庆</w:t>
      </w:r>
      <w:r>
        <w:rPr>
          <w:sz w:val="24"/>
          <w:lang w:val="ru-RU"/>
        </w:rPr>
        <w:t xml:space="preserve">. </w:t>
      </w:r>
      <w:r>
        <w:rPr>
          <w:sz w:val="24"/>
        </w:rPr>
        <w:t>基于</w:t>
      </w:r>
      <w:r>
        <w:rPr>
          <w:sz w:val="24"/>
        </w:rPr>
        <w:t>BP</w:t>
      </w:r>
      <w:r>
        <w:rPr>
          <w:sz w:val="24"/>
        </w:rPr>
        <w:t>神经网络的衡水市水资源承载力研究</w:t>
      </w:r>
      <w:r>
        <w:rPr>
          <w:sz w:val="24"/>
          <w:lang w:val="ru-RU"/>
        </w:rPr>
        <w:t>[</w:t>
      </w:r>
      <w:r>
        <w:rPr>
          <w:sz w:val="24"/>
        </w:rPr>
        <w:t>J</w:t>
      </w:r>
      <w:r>
        <w:rPr>
          <w:sz w:val="24"/>
          <w:lang w:val="ru-RU"/>
        </w:rPr>
        <w:t xml:space="preserve">]. </w:t>
      </w:r>
      <w:r>
        <w:rPr>
          <w:sz w:val="24"/>
        </w:rPr>
        <w:t>水利科技与经济</w:t>
      </w:r>
      <w:r>
        <w:rPr>
          <w:sz w:val="24"/>
          <w:lang w:val="ru-RU"/>
        </w:rPr>
        <w:t>, 2018,24(11): 18-21.</w:t>
      </w:r>
    </w:p>
    <w:p w14:paraId="3CA84B63" w14:textId="77777777" w:rsidR="005E0789" w:rsidRDefault="001B540E" w:rsidP="001B540E">
      <w:pPr>
        <w:pStyle w:val="a4"/>
        <w:ind w:firstLine="397"/>
        <w:rPr>
          <w:sz w:val="24"/>
          <w:lang w:val="ru-RU"/>
        </w:rPr>
      </w:pPr>
      <w:r>
        <w:rPr>
          <w:sz w:val="24"/>
          <w:lang w:val="ru-RU"/>
        </w:rPr>
        <w:t>[</w:t>
      </w:r>
      <w:r>
        <w:rPr>
          <w:rFonts w:hint="eastAsia"/>
          <w:sz w:val="24"/>
          <w:lang w:val="ru-RU"/>
        </w:rPr>
        <w:t>3</w:t>
      </w:r>
      <w:r>
        <w:rPr>
          <w:sz w:val="24"/>
          <w:lang w:val="ru-RU"/>
        </w:rPr>
        <w:t xml:space="preserve">] </w:t>
      </w:r>
      <w:r>
        <w:rPr>
          <w:sz w:val="24"/>
        </w:rPr>
        <w:t>方国华</w:t>
      </w:r>
      <w:r>
        <w:rPr>
          <w:sz w:val="24"/>
          <w:lang w:val="ru-RU"/>
        </w:rPr>
        <w:t xml:space="preserve">, </w:t>
      </w:r>
      <w:r>
        <w:rPr>
          <w:sz w:val="24"/>
        </w:rPr>
        <w:t>胡玉贵</w:t>
      </w:r>
      <w:r>
        <w:rPr>
          <w:sz w:val="24"/>
          <w:lang w:val="ru-RU"/>
        </w:rPr>
        <w:t xml:space="preserve">, </w:t>
      </w:r>
      <w:r>
        <w:rPr>
          <w:sz w:val="24"/>
        </w:rPr>
        <w:t>徐瑶</w:t>
      </w:r>
      <w:r>
        <w:rPr>
          <w:sz w:val="24"/>
          <w:lang w:val="ru-RU"/>
        </w:rPr>
        <w:t xml:space="preserve">. </w:t>
      </w:r>
      <w:r>
        <w:rPr>
          <w:sz w:val="24"/>
        </w:rPr>
        <w:t>区域水资源承载能力多目标分析评价模型及应用</w:t>
      </w:r>
      <w:r>
        <w:rPr>
          <w:sz w:val="24"/>
          <w:lang w:val="ru-RU"/>
        </w:rPr>
        <w:t>[</w:t>
      </w:r>
      <w:r>
        <w:rPr>
          <w:sz w:val="24"/>
        </w:rPr>
        <w:t>J</w:t>
      </w:r>
      <w:r>
        <w:rPr>
          <w:sz w:val="24"/>
          <w:lang w:val="ru-RU"/>
        </w:rPr>
        <w:t xml:space="preserve">]. </w:t>
      </w:r>
      <w:r>
        <w:rPr>
          <w:sz w:val="24"/>
        </w:rPr>
        <w:t>水资源保护</w:t>
      </w:r>
      <w:r>
        <w:rPr>
          <w:sz w:val="24"/>
          <w:lang w:val="ru-RU"/>
        </w:rPr>
        <w:t>, 2006(06): 9-13.</w:t>
      </w:r>
    </w:p>
    <w:p w14:paraId="3CA84B64" w14:textId="77777777" w:rsidR="005E0789" w:rsidRDefault="005E0789">
      <w:pPr>
        <w:pStyle w:val="a4"/>
        <w:rPr>
          <w:color w:val="FF0000"/>
          <w:sz w:val="16"/>
          <w:szCs w:val="16"/>
          <w:lang w:val="ru-RU"/>
        </w:rPr>
      </w:pPr>
    </w:p>
    <w:sectPr w:rsidR="005E0789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NiMmM3M2QxMjNhYmY3ZDE4NmI4M2RiNWNmNTE4YjMifQ=="/>
  </w:docVars>
  <w:rsids>
    <w:rsidRoot w:val="47CA6753"/>
    <w:rsid w:val="00025193"/>
    <w:rsid w:val="00054953"/>
    <w:rsid w:val="00067979"/>
    <w:rsid w:val="00097BAF"/>
    <w:rsid w:val="000F4095"/>
    <w:rsid w:val="00146113"/>
    <w:rsid w:val="001576F7"/>
    <w:rsid w:val="00167705"/>
    <w:rsid w:val="00187ACA"/>
    <w:rsid w:val="001B540E"/>
    <w:rsid w:val="001C67C6"/>
    <w:rsid w:val="001F0AE2"/>
    <w:rsid w:val="00236356"/>
    <w:rsid w:val="002A1AC5"/>
    <w:rsid w:val="002C59EA"/>
    <w:rsid w:val="00395172"/>
    <w:rsid w:val="003A1DCB"/>
    <w:rsid w:val="003B782F"/>
    <w:rsid w:val="003D6202"/>
    <w:rsid w:val="003E65E4"/>
    <w:rsid w:val="00475623"/>
    <w:rsid w:val="0048061C"/>
    <w:rsid w:val="004A2FB6"/>
    <w:rsid w:val="004A5AE6"/>
    <w:rsid w:val="004E4FA9"/>
    <w:rsid w:val="00532795"/>
    <w:rsid w:val="005733FA"/>
    <w:rsid w:val="005A0742"/>
    <w:rsid w:val="005E0789"/>
    <w:rsid w:val="00611287"/>
    <w:rsid w:val="00613C48"/>
    <w:rsid w:val="006463EE"/>
    <w:rsid w:val="006946A0"/>
    <w:rsid w:val="006E3849"/>
    <w:rsid w:val="00704907"/>
    <w:rsid w:val="00724F6B"/>
    <w:rsid w:val="00793214"/>
    <w:rsid w:val="007B0C2F"/>
    <w:rsid w:val="00852F2C"/>
    <w:rsid w:val="00861CD7"/>
    <w:rsid w:val="00935FC0"/>
    <w:rsid w:val="00967282"/>
    <w:rsid w:val="00970331"/>
    <w:rsid w:val="00985D11"/>
    <w:rsid w:val="00990FFF"/>
    <w:rsid w:val="009E5B9E"/>
    <w:rsid w:val="00A533A6"/>
    <w:rsid w:val="00A61035"/>
    <w:rsid w:val="00A725A8"/>
    <w:rsid w:val="00AC7957"/>
    <w:rsid w:val="00B06D98"/>
    <w:rsid w:val="00B75DDD"/>
    <w:rsid w:val="00B86A48"/>
    <w:rsid w:val="00BB3FAF"/>
    <w:rsid w:val="00BE223E"/>
    <w:rsid w:val="00BF1547"/>
    <w:rsid w:val="00BF17C7"/>
    <w:rsid w:val="00C11E5C"/>
    <w:rsid w:val="00C57412"/>
    <w:rsid w:val="00C7144A"/>
    <w:rsid w:val="00C7464D"/>
    <w:rsid w:val="00CB45A6"/>
    <w:rsid w:val="00CC1A88"/>
    <w:rsid w:val="00CC75C6"/>
    <w:rsid w:val="00CE00CA"/>
    <w:rsid w:val="00D01369"/>
    <w:rsid w:val="00D86673"/>
    <w:rsid w:val="00DF7F60"/>
    <w:rsid w:val="00E53378"/>
    <w:rsid w:val="00E70D88"/>
    <w:rsid w:val="00E74232"/>
    <w:rsid w:val="00E82CC0"/>
    <w:rsid w:val="00E853EA"/>
    <w:rsid w:val="00F00A60"/>
    <w:rsid w:val="00F17900"/>
    <w:rsid w:val="00F85FF2"/>
    <w:rsid w:val="00FC53E8"/>
    <w:rsid w:val="010C0502"/>
    <w:rsid w:val="061439B5"/>
    <w:rsid w:val="07043373"/>
    <w:rsid w:val="09711087"/>
    <w:rsid w:val="0A6208DC"/>
    <w:rsid w:val="0A88131D"/>
    <w:rsid w:val="0A894FD9"/>
    <w:rsid w:val="0D976C38"/>
    <w:rsid w:val="12751FBA"/>
    <w:rsid w:val="15CB1088"/>
    <w:rsid w:val="235E1157"/>
    <w:rsid w:val="24F0552A"/>
    <w:rsid w:val="28463780"/>
    <w:rsid w:val="3F792A66"/>
    <w:rsid w:val="449E1478"/>
    <w:rsid w:val="47CA6753"/>
    <w:rsid w:val="507527FF"/>
    <w:rsid w:val="538A2B86"/>
    <w:rsid w:val="561B7A15"/>
    <w:rsid w:val="56C71783"/>
    <w:rsid w:val="58060133"/>
    <w:rsid w:val="5D5F6439"/>
    <w:rsid w:val="5D684EF5"/>
    <w:rsid w:val="5F1234D2"/>
    <w:rsid w:val="613607BF"/>
    <w:rsid w:val="624F2F20"/>
    <w:rsid w:val="65CF5299"/>
    <w:rsid w:val="68583E7F"/>
    <w:rsid w:val="690C158A"/>
    <w:rsid w:val="6C9E1E44"/>
    <w:rsid w:val="6D203E37"/>
    <w:rsid w:val="717710F1"/>
    <w:rsid w:val="73C13552"/>
    <w:rsid w:val="73D143A6"/>
    <w:rsid w:val="749B2833"/>
    <w:rsid w:val="7BB25B0A"/>
    <w:rsid w:val="7E70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A84B53"/>
  <w15:docId w15:val="{F30D3331-2B8E-4606-A48B-C5398871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customStyle="1" w:styleId="EndNoteBibliography">
    <w:name w:val="EndNote Bibliography"/>
    <w:basedOn w:val="a"/>
    <w:qFormat/>
    <w:rPr>
      <w:rFonts w:ascii="DengXian" w:eastAsia="DengXian" w:hAnsi="DengXian"/>
      <w:sz w:val="20"/>
    </w:rPr>
  </w:style>
  <w:style w:type="paragraph" w:styleId="a4">
    <w:name w:val="No Spacing"/>
    <w:uiPriority w:val="99"/>
    <w:qFormat/>
    <w:pPr>
      <w:widowControl w:val="0"/>
      <w:jc w:val="both"/>
    </w:pPr>
    <w:rPr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14263\Desktop\&#32467;&#26524;&#20998;&#2651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ru-RU" altLang="zh-CN" b="1">
                <a:latin typeface="Times New Roman" panose="02020603050405020304" charset="0"/>
                <a:cs typeface="Times New Roman" panose="02020603050405020304" charset="0"/>
              </a:rPr>
              <a:t>Водопропуская способность</a:t>
            </a:r>
          </a:p>
        </c:rich>
      </c:tx>
      <c:layout>
        <c:manualLayout>
          <c:xMode val="edge"/>
          <c:yMode val="edge"/>
          <c:x val="0.35205629533121002"/>
          <c:y val="3.6999872923834297E-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zh-CN"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049628600346524"/>
          <c:y val="5.9912230490364399E-2"/>
          <c:w val="0.80588183829962434"/>
          <c:h val="0.8024041213508870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2700" cap="rnd" cmpd="sng">
                <a:solidFill>
                  <a:schemeClr val="accent1">
                    <a:lumMod val="60000"/>
                    <a:lumOff val="40000"/>
                  </a:schemeClr>
                </a:solidFill>
                <a:prstDash val="lgDash"/>
              </a:ln>
              <a:effectLst/>
            </c:spPr>
            <c:trendlineType val="poly"/>
            <c:order val="6"/>
            <c:dispRSqr val="0"/>
            <c:dispEq val="0"/>
          </c:trendline>
          <c:cat>
            <c:numRef>
              <c:f>[结果分析.xlsx]Sheet1!$A$2:$A$11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[结果分析.xlsx]Sheet1!$B$2:$B$11</c:f>
              <c:numCache>
                <c:formatCode>0.0000_ </c:formatCode>
                <c:ptCount val="10"/>
                <c:pt idx="0">
                  <c:v>0.67859999999999998</c:v>
                </c:pt>
                <c:pt idx="1">
                  <c:v>0.25340000000000001</c:v>
                </c:pt>
                <c:pt idx="2">
                  <c:v>0.36399999999999999</c:v>
                </c:pt>
                <c:pt idx="3">
                  <c:v>0.17829999999999999</c:v>
                </c:pt>
                <c:pt idx="4">
                  <c:v>0.25169999999999998</c:v>
                </c:pt>
                <c:pt idx="5">
                  <c:v>0.26040000000000002</c:v>
                </c:pt>
                <c:pt idx="6">
                  <c:v>0.3407</c:v>
                </c:pt>
                <c:pt idx="7">
                  <c:v>0.26229999999999998</c:v>
                </c:pt>
                <c:pt idx="8">
                  <c:v>0.25359999999999999</c:v>
                </c:pt>
                <c:pt idx="9">
                  <c:v>0.57030000000000003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A1-4694-87F5-BAA1209CBC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53281562"/>
        <c:axId val="618343715"/>
      </c:barChart>
      <c:catAx>
        <c:axId val="65328156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r>
                  <a:rPr lang="ru-RU" altLang="zh-CN" b="1">
                    <a:latin typeface="Times New Roman" panose="02020603050405020304" charset="0"/>
                    <a:cs typeface="Times New Roman" panose="02020603050405020304" charset="0"/>
                  </a:rPr>
                  <a:t>Год</a:t>
                </a:r>
              </a:p>
            </c:rich>
          </c:tx>
          <c:layout>
            <c:manualLayout>
              <c:xMode val="edge"/>
              <c:yMode val="edge"/>
              <c:x val="0.47216188834720901"/>
              <c:y val="0.9363503476064249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charset="0"/>
                  <a:ea typeface="+mn-ea"/>
                  <a:cs typeface="Times New Roman" panose="02020603050405020304" charset="0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ru-RU"/>
          </a:p>
        </c:txPr>
        <c:crossAx val="618343715"/>
        <c:crosses val="autoZero"/>
        <c:auto val="1"/>
        <c:lblAlgn val="ctr"/>
        <c:lblOffset val="100"/>
        <c:noMultiLvlLbl val="0"/>
      </c:catAx>
      <c:valAx>
        <c:axId val="618343715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r>
                  <a:rPr lang="ru-RU" altLang="zh-CN" b="0">
                    <a:latin typeface="Times New Roman" panose="02020603050405020304" charset="0"/>
                    <a:cs typeface="Times New Roman" panose="02020603050405020304" charset="0"/>
                  </a:rPr>
                  <a:t>Индекс несушей способности водных ресурсо</a:t>
                </a:r>
              </a:p>
            </c:rich>
          </c:tx>
          <c:layout>
            <c:manualLayout>
              <c:xMode val="edge"/>
              <c:yMode val="edge"/>
              <c:x val="7.1140209683734296E-3"/>
              <c:y val="0.1221264501700600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 defTabSz="914400">
                <a:defRPr lang="zh-CN"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charset="0"/>
                  <a:ea typeface="+mn-ea"/>
                  <a:cs typeface="Times New Roman" panose="02020603050405020304" charset="0"/>
                </a:defRPr>
              </a:pPr>
              <a:endParaRPr lang="ru-RU"/>
            </a:p>
          </c:txPr>
        </c:title>
        <c:numFmt formatCode="0.00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ru-RU"/>
          </a:p>
        </c:txPr>
        <c:crossAx val="65328156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b="1"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825B-BF08-444D-913B-BFCCCEF74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ReflecterX</dc:creator>
  <cp:lastModifiedBy>Алексей Смирнов</cp:lastModifiedBy>
  <cp:revision>9</cp:revision>
  <dcterms:created xsi:type="dcterms:W3CDTF">2024-02-24T03:56:00Z</dcterms:created>
  <dcterms:modified xsi:type="dcterms:W3CDTF">2024-05-03T15:47:00Z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C6A351FBE62C4FC9979A27ED7FF43F20_13</vt:lpwstr>
  </property>
</Properties>
</file>