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F585" w14:textId="77777777" w:rsidR="00466724" w:rsidRDefault="00000000">
      <w:pPr>
        <w:pStyle w:val="1"/>
        <w:spacing w:before="76" w:line="360" w:lineRule="auto"/>
        <w:ind w:left="124" w:right="150"/>
      </w:pPr>
      <w:r>
        <w:t>Трансформация</w:t>
      </w:r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инвестиционных</w:t>
      </w:r>
      <w:r>
        <w:rPr>
          <w:spacing w:val="-5"/>
        </w:rPr>
        <w:t xml:space="preserve"> </w:t>
      </w:r>
      <w:r>
        <w:t>компаниях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 xml:space="preserve">интеграцию </w:t>
      </w:r>
      <w:r>
        <w:rPr>
          <w:spacing w:val="-2"/>
        </w:rPr>
        <w:t>финтех-решений</w:t>
      </w:r>
    </w:p>
    <w:p w14:paraId="7885F283" w14:textId="77777777" w:rsidR="00466724" w:rsidRDefault="00000000">
      <w:pPr>
        <w:spacing w:before="159"/>
        <w:ind w:right="27"/>
        <w:jc w:val="center"/>
        <w:rPr>
          <w:b/>
          <w:i/>
          <w:sz w:val="24"/>
        </w:rPr>
      </w:pPr>
      <w:r>
        <w:rPr>
          <w:b/>
          <w:i/>
          <w:sz w:val="24"/>
        </w:rPr>
        <w:t>Мамедов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Эльдар</w:t>
      </w:r>
      <w:r>
        <w:rPr>
          <w:b/>
          <w:i/>
          <w:spacing w:val="-2"/>
          <w:sz w:val="24"/>
        </w:rPr>
        <w:t xml:space="preserve"> Заурович</w:t>
      </w:r>
    </w:p>
    <w:p w14:paraId="45B58DE4" w14:textId="77777777" w:rsidR="00466724" w:rsidRDefault="00466724">
      <w:pPr>
        <w:pStyle w:val="a3"/>
        <w:spacing w:before="23"/>
        <w:ind w:left="0"/>
        <w:rPr>
          <w:b/>
          <w:i/>
        </w:rPr>
      </w:pPr>
    </w:p>
    <w:p w14:paraId="6CBFA311" w14:textId="0656238F" w:rsidR="00466724" w:rsidRDefault="00000000" w:rsidP="003D1C7B">
      <w:pPr>
        <w:ind w:left="2934"/>
        <w:rPr>
          <w:i/>
          <w:spacing w:val="-2"/>
          <w:sz w:val="24"/>
        </w:rPr>
      </w:pPr>
      <w:r>
        <w:rPr>
          <w:i/>
          <w:sz w:val="24"/>
        </w:rPr>
        <w:t>Студент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2-го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магистратуры</w:t>
      </w:r>
    </w:p>
    <w:p w14:paraId="381DA589" w14:textId="77777777" w:rsidR="003D1C7B" w:rsidRPr="003D1C7B" w:rsidRDefault="003D1C7B" w:rsidP="003D1C7B">
      <w:pPr>
        <w:ind w:left="2934"/>
        <w:rPr>
          <w:i/>
          <w:sz w:val="24"/>
        </w:rPr>
      </w:pPr>
    </w:p>
    <w:p w14:paraId="0EDFBE23" w14:textId="3FAE8543" w:rsidR="00466724" w:rsidRDefault="00000000">
      <w:pPr>
        <w:spacing w:line="360" w:lineRule="auto"/>
        <w:ind w:left="2542" w:right="2143"/>
        <w:jc w:val="center"/>
        <w:rPr>
          <w:i/>
          <w:sz w:val="24"/>
        </w:rPr>
      </w:pPr>
      <w:r>
        <w:rPr>
          <w:i/>
          <w:sz w:val="24"/>
        </w:rPr>
        <w:t>Филиал МГУ имени М.В.</w:t>
      </w:r>
      <w:r w:rsidR="00E470AE">
        <w:rPr>
          <w:i/>
          <w:sz w:val="24"/>
        </w:rPr>
        <w:t xml:space="preserve"> </w:t>
      </w:r>
      <w:r>
        <w:rPr>
          <w:i/>
          <w:sz w:val="24"/>
        </w:rPr>
        <w:t>Ломоносова в г. Баку, экономический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факультет,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Баку,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Азербайджан E-mail: </w:t>
      </w:r>
      <w:hyperlink r:id="rId5">
        <w:r>
          <w:rPr>
            <w:i/>
            <w:color w:val="0562C1"/>
            <w:sz w:val="24"/>
            <w:u w:val="single" w:color="0562C1"/>
          </w:rPr>
          <w:t>el</w:t>
        </w:r>
      </w:hyperlink>
      <w:hyperlink r:id="rId6">
        <w:r>
          <w:rPr>
            <w:i/>
            <w:color w:val="0562C1"/>
            <w:sz w:val="24"/>
            <w:u w:val="single" w:color="0562C1"/>
          </w:rPr>
          <w:t>darmamadov987@gmail.com</w:t>
        </w:r>
      </w:hyperlink>
    </w:p>
    <w:p w14:paraId="388DFB0A" w14:textId="77777777" w:rsidR="00466724" w:rsidRDefault="00466724">
      <w:pPr>
        <w:pStyle w:val="a3"/>
        <w:spacing w:before="138"/>
        <w:ind w:left="0"/>
        <w:rPr>
          <w:i/>
        </w:rPr>
      </w:pPr>
    </w:p>
    <w:p w14:paraId="39E47C8F" w14:textId="321168E7" w:rsidR="00466724" w:rsidRDefault="00000000">
      <w:pPr>
        <w:pStyle w:val="a3"/>
        <w:spacing w:line="360" w:lineRule="auto"/>
        <w:ind w:right="126" w:firstLine="708"/>
        <w:jc w:val="both"/>
      </w:pPr>
      <w:r>
        <w:t>В</w:t>
      </w:r>
      <w:r>
        <w:rPr>
          <w:spacing w:val="-15"/>
        </w:rPr>
        <w:t xml:space="preserve"> </w:t>
      </w:r>
      <w:r>
        <w:t>эпоху</w:t>
      </w:r>
      <w:r>
        <w:rPr>
          <w:spacing w:val="-14"/>
        </w:rPr>
        <w:t xml:space="preserve"> </w:t>
      </w:r>
      <w:r>
        <w:t>цифровизации</w:t>
      </w:r>
      <w:r>
        <w:rPr>
          <w:spacing w:val="-14"/>
        </w:rPr>
        <w:t xml:space="preserve"> </w:t>
      </w:r>
      <w:r>
        <w:t>финансовые</w:t>
      </w:r>
      <w:r>
        <w:rPr>
          <w:spacing w:val="-14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t>выступают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катализаторов</w:t>
      </w:r>
      <w:r>
        <w:rPr>
          <w:spacing w:val="-15"/>
        </w:rPr>
        <w:t xml:space="preserve"> </w:t>
      </w:r>
      <w:r>
        <w:t>для трансформации управленческих практик в инвестиционных компаниях. Эта тенденция обусловлена стремлением к повышению операционной эффективности, улучшению качества услуг, ускорению принятия решений на основе данных, а также обеспечению строгого соблюдения нормативно-правовых требований со стороны регулятора. Финтех- инструменты также способствуют автоматизации и упрощению процессов отчетности и мониторинга, что позволяет инвестиционным компаниям не только повышать свою конкурентоспособность, но и гарантировать полное соответствие действующему законодательству, минимизируя правовые риски.</w:t>
      </w:r>
      <w:r w:rsidR="00E470AE">
        <w:t xml:space="preserve"> </w:t>
      </w:r>
    </w:p>
    <w:p w14:paraId="4B295BA8" w14:textId="77777777" w:rsidR="00E470AE" w:rsidRDefault="00E470AE" w:rsidP="00E470AE">
      <w:pPr>
        <w:pStyle w:val="a3"/>
        <w:spacing w:before="159" w:line="360" w:lineRule="auto"/>
        <w:ind w:right="126" w:firstLine="768"/>
        <w:jc w:val="both"/>
      </w:pPr>
      <w:r w:rsidRPr="00E470AE">
        <w:t xml:space="preserve">Финтех, представляющий собой симбиоз финансовых инноваций и технологической инфраструктуры, открывает новые горизонты для разработки передовых бизнес-моделей, создания инновационных приложений, оптимизации существующих процессов и разработки уникальных продуктов. Эта интеграция значительно трансформирует ландшафт финансовых рынков и институтов, оказывая глубокое влияние на механизмы предоставления финансовых услуг. </w:t>
      </w:r>
    </w:p>
    <w:p w14:paraId="0D8B5032" w14:textId="6AD01102" w:rsidR="00466724" w:rsidRDefault="00000000" w:rsidP="00E470AE">
      <w:pPr>
        <w:pStyle w:val="a3"/>
        <w:spacing w:before="159" w:line="360" w:lineRule="auto"/>
        <w:ind w:right="126" w:firstLine="768"/>
        <w:jc w:val="both"/>
      </w:pPr>
      <w:r>
        <w:t>В мировой практике организации, предоставляющие услуги по инвестированию в ценные бумаги на внутренних и зарубежных рынках, выпуску ценных бумаг на рынки капитала, а также занимающиеся торговлей производными финансовыми инструментами, называются инвестиционными банками. В Азербайджане аналогичные учреждения, занимающиеся схожей</w:t>
      </w:r>
      <w:r>
        <w:rPr>
          <w:spacing w:val="-2"/>
        </w:rPr>
        <w:t xml:space="preserve"> </w:t>
      </w:r>
      <w:r>
        <w:t>деятельностью, классифицируются как</w:t>
      </w:r>
      <w:r>
        <w:rPr>
          <w:spacing w:val="-1"/>
        </w:rPr>
        <w:t xml:space="preserve"> </w:t>
      </w:r>
      <w:r>
        <w:t>инвестиционные компании.</w:t>
      </w:r>
    </w:p>
    <w:p w14:paraId="1D979DBA" w14:textId="3EFA2021" w:rsidR="00466724" w:rsidRDefault="00000000">
      <w:pPr>
        <w:pStyle w:val="a3"/>
        <w:spacing w:before="159" w:line="360" w:lineRule="auto"/>
        <w:ind w:right="126" w:firstLine="768"/>
        <w:jc w:val="both"/>
      </w:pPr>
      <w:r>
        <w:t>В Азербайджане насчитывается 12 инвестиционных компаний, из которых 5 связаны с банками. Среди населения Азербайджана около 49% населения старше 18 лет знают о предлагаемых инвестиционными компаниями услугах, а 36% уже пользовались инвестиционными продуктами.</w:t>
      </w:r>
    </w:p>
    <w:p w14:paraId="5C8AA4D0" w14:textId="77777777" w:rsidR="00466724" w:rsidRDefault="00466724">
      <w:pPr>
        <w:spacing w:line="360" w:lineRule="auto"/>
        <w:jc w:val="both"/>
        <w:sectPr w:rsidR="00466724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14:paraId="4DE19AE6" w14:textId="77777777" w:rsidR="00466724" w:rsidRDefault="00000000">
      <w:pPr>
        <w:pStyle w:val="a3"/>
        <w:spacing w:before="76" w:line="360" w:lineRule="auto"/>
        <w:ind w:right="117" w:firstLine="708"/>
        <w:jc w:val="both"/>
      </w:pPr>
      <w:r>
        <w:lastRenderedPageBreak/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отчета</w:t>
      </w:r>
      <w:r>
        <w:rPr>
          <w:spacing w:val="-14"/>
        </w:rPr>
        <w:t xml:space="preserve"> </w:t>
      </w:r>
      <w:r>
        <w:t>Центрального</w:t>
      </w:r>
      <w:r>
        <w:rPr>
          <w:spacing w:val="-14"/>
        </w:rPr>
        <w:t xml:space="preserve"> </w:t>
      </w:r>
      <w:r>
        <w:t>Банка</w:t>
      </w:r>
      <w:r>
        <w:rPr>
          <w:spacing w:val="-14"/>
        </w:rPr>
        <w:t xml:space="preserve"> </w:t>
      </w:r>
      <w:r>
        <w:t>Азербайджанской</w:t>
      </w:r>
      <w:r>
        <w:rPr>
          <w:spacing w:val="-14"/>
        </w:rPr>
        <w:t xml:space="preserve"> </w:t>
      </w:r>
      <w:r>
        <w:t>Республики</w:t>
      </w:r>
      <w:r>
        <w:rPr>
          <w:spacing w:val="-14"/>
        </w:rPr>
        <w:t xml:space="preserve"> </w:t>
      </w:r>
      <w:r>
        <w:t>"Рынок капитала: итоги 2023 года" можно констатировать, что рынок капитала Азербайджана демонстрирует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1"/>
        </w:rPr>
        <w:t xml:space="preserve"> </w:t>
      </w:r>
      <w:r>
        <w:t>рост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развитие.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частности,</w:t>
      </w:r>
      <w:r>
        <w:rPr>
          <w:spacing w:val="-11"/>
        </w:rPr>
        <w:t xml:space="preserve"> </w:t>
      </w:r>
      <w:r>
        <w:t>отмечается</w:t>
      </w:r>
      <w:r>
        <w:rPr>
          <w:spacing w:val="-11"/>
        </w:rPr>
        <w:t xml:space="preserve"> </w:t>
      </w:r>
      <w:r>
        <w:t>увеличение</w:t>
      </w:r>
      <w:r>
        <w:rPr>
          <w:spacing w:val="-11"/>
        </w:rPr>
        <w:t xml:space="preserve"> </w:t>
      </w:r>
      <w:r>
        <w:t>активов инвестиционных компаний и активов клиентов, что свидетельствует о возрастающей активности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интересе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инвестиционным</w:t>
      </w:r>
      <w:r>
        <w:rPr>
          <w:spacing w:val="-15"/>
        </w:rPr>
        <w:t xml:space="preserve"> </w:t>
      </w:r>
      <w:r>
        <w:t>возможностям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стране.</w:t>
      </w:r>
      <w:r>
        <w:rPr>
          <w:spacing w:val="-15"/>
        </w:rPr>
        <w:t xml:space="preserve"> </w:t>
      </w:r>
      <w:r>
        <w:t>Активы</w:t>
      </w:r>
      <w:r>
        <w:rPr>
          <w:spacing w:val="-15"/>
        </w:rPr>
        <w:t xml:space="preserve"> </w:t>
      </w:r>
      <w:r>
        <w:t>инвестиционных компаний,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данным</w:t>
      </w:r>
      <w:r>
        <w:rPr>
          <w:spacing w:val="17"/>
        </w:rPr>
        <w:t xml:space="preserve"> </w:t>
      </w:r>
      <w:r>
        <w:t>отчета,</w:t>
      </w:r>
      <w:r>
        <w:rPr>
          <w:spacing w:val="18"/>
        </w:rPr>
        <w:t xml:space="preserve"> </w:t>
      </w:r>
      <w:r>
        <w:t>увеличились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12%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сравнению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предыдущим</w:t>
      </w:r>
      <w:r>
        <w:rPr>
          <w:spacing w:val="17"/>
        </w:rPr>
        <w:t xml:space="preserve"> </w:t>
      </w:r>
      <w:r>
        <w:t>годом,</w:t>
      </w:r>
      <w:r>
        <w:rPr>
          <w:spacing w:val="18"/>
        </w:rPr>
        <w:t xml:space="preserve"> </w:t>
      </w:r>
      <w:r>
        <w:rPr>
          <w:spacing w:val="-10"/>
        </w:rPr>
        <w:t>с</w:t>
      </w:r>
    </w:p>
    <w:p w14:paraId="63005380" w14:textId="77777777" w:rsidR="00466724" w:rsidRDefault="00000000">
      <w:pPr>
        <w:pStyle w:val="a3"/>
        <w:spacing w:line="360" w:lineRule="auto"/>
        <w:ind w:right="125"/>
        <w:jc w:val="both"/>
      </w:pPr>
      <w:r>
        <w:t>108.1 млн. манат до 121.1 млн. манат. Клиентские активы также показали значительный рост на 28% по сравнению с 2022 годом. Такие позитивные тенденции подчеркивают потенциал</w:t>
      </w:r>
      <w:r>
        <w:rPr>
          <w:spacing w:val="-11"/>
        </w:rPr>
        <w:t xml:space="preserve"> </w:t>
      </w:r>
      <w:r>
        <w:t>рынка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необходимость</w:t>
      </w:r>
      <w:r>
        <w:rPr>
          <w:spacing w:val="-13"/>
        </w:rPr>
        <w:t xml:space="preserve"> </w:t>
      </w:r>
      <w:r>
        <w:t>адаптации</w:t>
      </w:r>
      <w:r>
        <w:rPr>
          <w:spacing w:val="-13"/>
        </w:rPr>
        <w:t xml:space="preserve"> </w:t>
      </w:r>
      <w:r>
        <w:t>управленческих</w:t>
      </w:r>
      <w:r>
        <w:rPr>
          <w:spacing w:val="-12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увеличивающемуся объему операций и сложности рыночных механизмов.</w:t>
      </w:r>
    </w:p>
    <w:p w14:paraId="1E904F90" w14:textId="77777777" w:rsidR="00466724" w:rsidRDefault="00000000">
      <w:pPr>
        <w:pStyle w:val="a3"/>
        <w:spacing w:before="160" w:line="360" w:lineRule="auto"/>
        <w:ind w:right="127" w:firstLine="708"/>
        <w:jc w:val="both"/>
      </w:pPr>
      <w:r>
        <w:rPr>
          <w:b/>
        </w:rPr>
        <w:t>Целью</w:t>
      </w:r>
      <w:r>
        <w:rPr>
          <w:b/>
          <w:spacing w:val="-6"/>
        </w:rPr>
        <w:t xml:space="preserve"> </w:t>
      </w:r>
      <w:r>
        <w:rPr>
          <w:b/>
        </w:rPr>
        <w:t>данной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rPr>
          <w:b/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усовершенствованию систем управления в инвестиционных компаниях с помощью финтех-решений</w:t>
      </w:r>
    </w:p>
    <w:p w14:paraId="2148F6AB" w14:textId="60FFCFE7" w:rsidR="00466724" w:rsidRDefault="00000000">
      <w:pPr>
        <w:pStyle w:val="a3"/>
        <w:spacing w:before="159" w:line="360" w:lineRule="auto"/>
        <w:ind w:right="125" w:firstLine="708"/>
        <w:jc w:val="both"/>
      </w:pPr>
      <w:r>
        <w:t>В рамках данной работы будут рассмотрены недостатки, выявленные во время проверки деятельности инвестиционных компаний, проведенной Центральным Банком Азербайджана в 2023</w:t>
      </w:r>
      <w:r w:rsidR="007B0DF6">
        <w:t xml:space="preserve"> году</w:t>
      </w:r>
      <w:r>
        <w:t>. Рассмотрение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позволит определить ключевые аспекты, в которых интеграция финансовых технологий может способствовать более устойчивому развитию инвестиционных компаний, укрепляя их позиции на рынке и повышая доверие со стороны всех заинтересованных сторон.</w:t>
      </w:r>
    </w:p>
    <w:p w14:paraId="072BD02C" w14:textId="77777777" w:rsidR="00466724" w:rsidRDefault="00466724">
      <w:pPr>
        <w:pStyle w:val="a3"/>
        <w:ind w:left="0"/>
      </w:pPr>
    </w:p>
    <w:p w14:paraId="36DDD77D" w14:textId="77777777" w:rsidR="00466724" w:rsidRDefault="00466724">
      <w:pPr>
        <w:pStyle w:val="a3"/>
        <w:spacing w:before="183"/>
        <w:ind w:left="0"/>
      </w:pPr>
    </w:p>
    <w:p w14:paraId="77A0B664" w14:textId="77777777" w:rsidR="00466724" w:rsidRDefault="00000000">
      <w:pPr>
        <w:pStyle w:val="1"/>
      </w:pPr>
      <w:r>
        <w:rPr>
          <w:spacing w:val="-2"/>
        </w:rPr>
        <w:t>Литература</w:t>
      </w:r>
    </w:p>
    <w:p w14:paraId="6B820E51" w14:textId="77777777" w:rsidR="00466724" w:rsidRDefault="00466724">
      <w:pPr>
        <w:pStyle w:val="a3"/>
        <w:ind w:left="0"/>
        <w:rPr>
          <w:b/>
        </w:rPr>
      </w:pPr>
    </w:p>
    <w:p w14:paraId="776C1A28" w14:textId="77777777" w:rsidR="00466724" w:rsidRDefault="00466724">
      <w:pPr>
        <w:pStyle w:val="a3"/>
        <w:spacing w:before="159"/>
        <w:ind w:left="0"/>
        <w:rPr>
          <w:b/>
        </w:rPr>
      </w:pPr>
    </w:p>
    <w:p w14:paraId="09345D8E" w14:textId="03C798DB" w:rsidR="00466724" w:rsidRPr="003D1C7B" w:rsidRDefault="003D1C7B">
      <w:pPr>
        <w:pStyle w:val="a5"/>
        <w:numPr>
          <w:ilvl w:val="0"/>
          <w:numId w:val="1"/>
        </w:numPr>
        <w:tabs>
          <w:tab w:val="left" w:pos="821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Отчет </w:t>
      </w:r>
      <w:r w:rsidRPr="003D1C7B">
        <w:rPr>
          <w:sz w:val="24"/>
          <w:szCs w:val="24"/>
        </w:rPr>
        <w:t>Центральн</w:t>
      </w:r>
      <w:r>
        <w:rPr>
          <w:sz w:val="24"/>
          <w:szCs w:val="24"/>
        </w:rPr>
        <w:t>ого</w:t>
      </w:r>
      <w:r w:rsidRPr="003D1C7B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3D1C7B">
        <w:rPr>
          <w:sz w:val="24"/>
          <w:szCs w:val="24"/>
        </w:rPr>
        <w:t>анк</w:t>
      </w:r>
      <w:r>
        <w:rPr>
          <w:sz w:val="24"/>
          <w:szCs w:val="24"/>
        </w:rPr>
        <w:t>а</w:t>
      </w:r>
      <w:r w:rsidRPr="003D1C7B">
        <w:rPr>
          <w:sz w:val="24"/>
          <w:szCs w:val="24"/>
        </w:rPr>
        <w:t xml:space="preserve"> Азербайджанской Республики: Рынок капитала: итоги 2023 года</w:t>
      </w:r>
    </w:p>
    <w:p w14:paraId="38F5CF27" w14:textId="77777777" w:rsidR="00466724" w:rsidRPr="007B0DF6" w:rsidRDefault="00000000">
      <w:pPr>
        <w:pStyle w:val="a5"/>
        <w:numPr>
          <w:ilvl w:val="0"/>
          <w:numId w:val="1"/>
        </w:numPr>
        <w:tabs>
          <w:tab w:val="left" w:pos="821"/>
        </w:tabs>
        <w:spacing w:line="259" w:lineRule="auto"/>
        <w:ind w:right="630"/>
        <w:rPr>
          <w:sz w:val="24"/>
          <w:szCs w:val="24"/>
          <w:lang w:val="en-GB"/>
        </w:rPr>
      </w:pPr>
      <w:r w:rsidRPr="007B0DF6">
        <w:rPr>
          <w:sz w:val="24"/>
          <w:szCs w:val="24"/>
          <w:lang w:val="en-GB"/>
        </w:rPr>
        <w:t>Gomber P., Kauffman R., Christopher Parker, Weber B., On the Fintech Revolution: Interpreting the Forces of Innovation, Disruption, and Transformation in Financial Services, 2017</w:t>
      </w:r>
    </w:p>
    <w:p w14:paraId="4918D858" w14:textId="77777777" w:rsidR="00466724" w:rsidRPr="007B0DF6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0"/>
        <w:rPr>
          <w:sz w:val="24"/>
          <w:szCs w:val="24"/>
          <w:lang w:val="en-GB"/>
        </w:rPr>
      </w:pPr>
      <w:r w:rsidRPr="007B0DF6">
        <w:rPr>
          <w:sz w:val="24"/>
          <w:szCs w:val="24"/>
          <w:lang w:val="en-GB"/>
        </w:rPr>
        <w:t>Rajesh Kumar, Investment Banks and Finance Companies, 2014, p. 191-206</w:t>
      </w:r>
    </w:p>
    <w:p w14:paraId="1BF2BE9A" w14:textId="63346287" w:rsidR="003D1C7B" w:rsidRPr="003D1C7B" w:rsidRDefault="003D1C7B">
      <w:pPr>
        <w:pStyle w:val="a5"/>
        <w:numPr>
          <w:ilvl w:val="0"/>
          <w:numId w:val="1"/>
        </w:numPr>
        <w:tabs>
          <w:tab w:val="left" w:pos="82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Центральный Банк Азербайджана </w:t>
      </w:r>
      <w:r w:rsidRPr="003D1C7B">
        <w:rPr>
          <w:sz w:val="24"/>
          <w:szCs w:val="24"/>
        </w:rPr>
        <w:t>https://www.cbar.az/</w:t>
      </w:r>
    </w:p>
    <w:p w14:paraId="59308541" w14:textId="1ACB8117" w:rsidR="00466724" w:rsidRPr="003D1C7B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22"/>
        <w:rPr>
          <w:sz w:val="24"/>
          <w:szCs w:val="24"/>
        </w:rPr>
      </w:pPr>
      <w:r w:rsidRPr="003D1C7B">
        <w:rPr>
          <w:sz w:val="24"/>
          <w:szCs w:val="24"/>
        </w:rPr>
        <w:t xml:space="preserve">Бакинская фондовая биржа </w:t>
      </w:r>
      <w:hyperlink r:id="rId7" w:history="1">
        <w:r w:rsidR="003D1C7B" w:rsidRPr="003D1C7B">
          <w:t>https://www.bfb.az/</w:t>
        </w:r>
      </w:hyperlink>
    </w:p>
    <w:p w14:paraId="3574EDEC" w14:textId="77777777" w:rsidR="00466724" w:rsidRPr="003D1C7B" w:rsidRDefault="00000000">
      <w:pPr>
        <w:pStyle w:val="a5"/>
        <w:numPr>
          <w:ilvl w:val="0"/>
          <w:numId w:val="1"/>
        </w:numPr>
        <w:tabs>
          <w:tab w:val="left" w:pos="821"/>
        </w:tabs>
        <w:rPr>
          <w:sz w:val="24"/>
          <w:szCs w:val="24"/>
        </w:rPr>
      </w:pPr>
      <w:hyperlink r:id="rId8">
        <w:r w:rsidRPr="003D1C7B">
          <w:rPr>
            <w:sz w:val="24"/>
            <w:szCs w:val="24"/>
          </w:rPr>
          <w:t>https://www.statista.com/</w:t>
        </w:r>
      </w:hyperlink>
    </w:p>
    <w:sectPr w:rsidR="00466724" w:rsidRPr="003D1C7B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803C4"/>
    <w:multiLevelType w:val="hybridMultilevel"/>
    <w:tmpl w:val="5E265F08"/>
    <w:lvl w:ilvl="0" w:tplc="0BD2B9CC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1291F4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A49A26F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18EC90F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A238EEC6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BB1CCA4A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14DA5C6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FDFAE234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A8D8DA3A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num w:numId="1" w16cid:durableId="36726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24"/>
    <w:rsid w:val="003D1C7B"/>
    <w:rsid w:val="00466724"/>
    <w:rsid w:val="007B0DF6"/>
    <w:rsid w:val="00E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E5F8"/>
  <w15:docId w15:val="{2AAB0D9B-FEB2-4437-A05E-8F72C371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2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21"/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D1C7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D1C7B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E470A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fb.a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mamadov987@gmail.com" TargetMode="External"/><Relationship Id="rId5" Type="http://schemas.openxmlformats.org/officeDocument/2006/relationships/hyperlink" Target="mailto:esmira1ivashchenk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3575</Characters>
  <Application>Microsoft Office Word</Application>
  <DocSecurity>0</DocSecurity>
  <Lines>66</Lines>
  <Paragraphs>23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/>
  <cp:lastModifiedBy>Asus</cp:lastModifiedBy>
  <cp:revision>4</cp:revision>
  <dcterms:created xsi:type="dcterms:W3CDTF">2024-02-29T18:55:00Z</dcterms:created>
  <dcterms:modified xsi:type="dcterms:W3CDTF">2024-02-29T19:19:00Z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D:20240228172336</vt:lpwstr>
  </property>
</Properties>
</file>