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CD807" w14:textId="77777777" w:rsidR="00FE6839" w:rsidRDefault="00FE6839" w:rsidP="00FE6839">
      <w:pPr>
        <w:shd w:val="clear" w:color="auto" w:fill="FFFFFF"/>
        <w:spacing w:after="160" w:line="240" w:lineRule="auto"/>
        <w:ind w:firstLine="720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  <w:lang w:val="ru-RU"/>
        </w:rPr>
      </w:pPr>
      <w:r w:rsidRPr="00FE6839">
        <w:rPr>
          <w:rFonts w:ascii="Times New Roman" w:eastAsia="Times New Roman" w:hAnsi="Times New Roman" w:cs="Times New Roman"/>
          <w:color w:val="353535"/>
          <w:sz w:val="24"/>
          <w:szCs w:val="24"/>
          <w:lang w:val="ru-RU"/>
        </w:rPr>
        <w:t>Дмитриева Кристина Алексеевна</w:t>
      </w:r>
    </w:p>
    <w:p w14:paraId="0672F088" w14:textId="3D4373C3" w:rsidR="00FE6839" w:rsidRPr="00FE6839" w:rsidRDefault="00FE6839" w:rsidP="00FE6839">
      <w:pPr>
        <w:shd w:val="clear" w:color="auto" w:fill="FFFFFF"/>
        <w:spacing w:after="160" w:line="240" w:lineRule="auto"/>
        <w:ind w:firstLine="720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  <w:lang w:val="ru-RU"/>
        </w:rPr>
      </w:pPr>
      <w:r w:rsidRPr="00FE6839">
        <w:rPr>
          <w:rFonts w:ascii="Times New Roman" w:eastAsia="Times New Roman" w:hAnsi="Times New Roman" w:cs="Times New Roman"/>
          <w:color w:val="353535"/>
          <w:sz w:val="24"/>
          <w:szCs w:val="24"/>
          <w:lang w:val="ru-RU"/>
        </w:rPr>
        <w:br/>
        <w:t xml:space="preserve">          МГУ имени </w:t>
      </w:r>
      <w:proofErr w:type="gramStart"/>
      <w:r w:rsidRPr="00FE6839">
        <w:rPr>
          <w:rFonts w:ascii="Times New Roman" w:eastAsia="Times New Roman" w:hAnsi="Times New Roman" w:cs="Times New Roman"/>
          <w:color w:val="353535"/>
          <w:sz w:val="24"/>
          <w:szCs w:val="24"/>
          <w:lang w:val="ru-RU"/>
        </w:rPr>
        <w:t>М.В.</w:t>
      </w:r>
      <w:proofErr w:type="gramEnd"/>
      <w:r w:rsidRPr="00FE6839">
        <w:rPr>
          <w:rFonts w:ascii="Times New Roman" w:eastAsia="Times New Roman" w:hAnsi="Times New Roman" w:cs="Times New Roman"/>
          <w:color w:val="353535"/>
          <w:sz w:val="24"/>
          <w:szCs w:val="24"/>
          <w:lang w:val="ru-RU"/>
        </w:rPr>
        <w:t xml:space="preserve"> Ломоносова</w:t>
      </w:r>
    </w:p>
    <w:p w14:paraId="34888CD1" w14:textId="20CEEC14" w:rsidR="00FE6839" w:rsidRPr="00FE6839" w:rsidRDefault="00FE6839" w:rsidP="00FE6839">
      <w:pPr>
        <w:shd w:val="clear" w:color="auto" w:fill="FFFFFF"/>
        <w:spacing w:after="16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val="ru-RU"/>
        </w:rPr>
      </w:pPr>
      <w:r w:rsidRPr="00FE6839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val="ru-RU"/>
        </w:rPr>
        <w:t>ИИ в визуальной коммуникации: тенденции и проблемы</w:t>
      </w:r>
    </w:p>
    <w:p w14:paraId="615E60DF" w14:textId="0AB947E1" w:rsidR="00E54DF2" w:rsidRDefault="00B61D90" w:rsidP="00E164F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Растет актуальность использования генеративного ИИ в визуальной коммуникации в цифровом пространстве, создании контента как ее [визуальной коммуникации] средства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. Интеграция новых технологий в процесс</w:t>
      </w:r>
      <w:r w:rsidR="00E164FD">
        <w:rPr>
          <w:rFonts w:ascii="Times New Roman" w:eastAsia="Times New Roman" w:hAnsi="Times New Roman" w:cs="Times New Roman"/>
          <w:color w:val="353535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производства и дистрибуции контента, </w:t>
      </w:r>
      <w:proofErr w:type="spellStart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трансмедийность</w:t>
      </w:r>
      <w:proofErr w:type="spellEnd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расширяют целевую аудиторию [1]. </w:t>
      </w:r>
      <w:proofErr w:type="gramStart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В.Э.</w:t>
      </w:r>
      <w:proofErr w:type="gramEnd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Шевченко пишет, что использование больших объемов данных как источников для журналистских историй, задействование технологий интерактивного воссоздания ситуации — тенденции развития в целом медиаиндустрии. Сегодня эти функции практически целиком делегируют AI-инструментам. А. В. </w:t>
      </w:r>
      <w:proofErr w:type="spellStart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Шестерина</w:t>
      </w:r>
      <w:proofErr w:type="spellEnd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пишет об использовании подобных систем корпорациями в целях получения прибыли [2]. В условиях современного медиарынка наибольший и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нтерес представляют коммерческий контент (направленные на увеличение конверсии охвата в покупательский трафик). На данный момент существует несколько тенденций использования генеративного AI в визуальной коммуникации. </w:t>
      </w:r>
    </w:p>
    <w:p w14:paraId="615E60E0" w14:textId="01073EAF" w:rsidR="00E54DF2" w:rsidRDefault="00B61D90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 xml:space="preserve">Создание продвинутых дипфейков. 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Использование ИИ для создания дипфейков </w:t>
      </w:r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(термин появился как синтез термина «</w:t>
      </w:r>
      <w:proofErr w:type="spellStart"/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deep</w:t>
      </w:r>
      <w:proofErr w:type="spellEnd"/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» («глубинное обучение») и</w:t>
      </w:r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fake</w:t>
      </w:r>
      <w:proofErr w:type="spellEnd"/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 xml:space="preserve"> («подделка»)) 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становится все более популярным, в связи с чем растет число этических и правовых коллизий. Однако использование этой технологии для создания визуального контента маркетологами позволяет усилить его креативную составляющую. Пример: рекламный креатив «Сбера» в 2020: предновогодняя реклама с Жоржем Милославским, героем культовой советской кинокомедии, «первого амбассадора» банка (сейчас — цифровой экосистемы). Применение технологии позволило создать креатив нового уровня, который не только 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стал коммерчески успешным, но и </w:t>
      </w:r>
      <w:proofErr w:type="spellStart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репутационно</w:t>
      </w:r>
      <w:proofErr w:type="spellEnd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-значимым для бренда: подчеркнул технологическую продвинутость «Сбера» как цифровой экосистемы. Но использование этого инструмента рождает ряд коллизий и проблем, так, А. В. </w:t>
      </w:r>
      <w:proofErr w:type="spellStart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Шестерина</w:t>
      </w:r>
      <w:proofErr w:type="spellEnd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пишет об основной проблеме такой системы — невозможности дискриминировать истинный плагиат и видео, использующие копирайт-контент в </w:t>
      </w:r>
      <w:proofErr w:type="spellStart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трансформативных</w:t>
      </w:r>
      <w:proofErr w:type="spellEnd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целях.</w:t>
      </w:r>
    </w:p>
    <w:p w14:paraId="615E60E1" w14:textId="77777777" w:rsidR="00E54DF2" w:rsidRDefault="00B61D90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 xml:space="preserve">Перекладывание на генеративные нейронные сети задач концептуализации и разработки маркетинговых креативов. 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Для визуальных коммуникаций в целом характерна первостепенная значимость разработки концепции, разработки сначала идейной, а только затем визуальной составляющей. «Студия Артемия Лебедева» разработала уникальную для отечественного рынка технологий виртуального дизайнера «Николая </w:t>
      </w:r>
      <w:proofErr w:type="spellStart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Иронова</w:t>
      </w:r>
      <w:proofErr w:type="spellEnd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», который разрабатывает логотипы и составляет брендбук, то есть, по сути, берет на себя разработку и концептуализацию визуальной коммуникационной стратегии, посредством которой бренд общается со своей аудиторией. Коммерческа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я выгода использования такого креатива очевидна, По умолчанию пользователь может получить в результате генерации 999 вариантов логотипа для условных 5 проектов.</w:t>
      </w:r>
    </w:p>
    <w:p w14:paraId="615E60E2" w14:textId="77777777" w:rsidR="00E54DF2" w:rsidRDefault="00B61D90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CE5CD"/>
        </w:rPr>
      </w:pPr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 xml:space="preserve">Персонификация и геймификация пользовательского опыта с помощью технологий искусственного интеллекта. 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О. Е. Коврижных и Л.И. Коврижных пишут о внедрении геймификации в контент, как способе не только удерживать интерес имеющихся подписчиков, но и значительно улучшать взаимодействие с ними, повышать их активность, в том числе и активность, и эффективность продаж, а также способствовать вовлечению новых пользователей и расширению целевой аудитории [3]. Для разработки игровой </w:t>
      </w:r>
      <w:proofErr w:type="gramStart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модели  пользовательского</w:t>
      </w:r>
      <w:proofErr w:type="gramEnd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опыта, способов его индивидуализировать затрачивается большой объем ресурсов, формируется потребность в постоян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ном совершенствовании профессиональных компетенций специалистов, которые этим занимаются. Использование технологий искусственного интеллекта для этих целей позволяет, в первую очередь, использовать эти инструменты быстро и эффективно: искусственный интеллект может 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lastRenderedPageBreak/>
        <w:t xml:space="preserve">разработать дизайн интерфейса, соответствующий таким критериям, как возможность легко восприниматься детьми любого возраста, людьми с нарушениями зрения и так далее. </w:t>
      </w:r>
    </w:p>
    <w:p w14:paraId="615E60E3" w14:textId="77777777" w:rsidR="00E54DF2" w:rsidRDefault="00B61D90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Таким образом, интеграция генеративного искусственного интеллекта в цифровое пространство для создания визуальной коммуникации — современный тренд, который охватывает разнообразные инновационные подходы, развивающиеся тенденции и возникающие проблемы. Рассмотрев существующие тенденции, можно сделать ряд выводов о наличии</w:t>
      </w:r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 xml:space="preserve"> проблем в этой области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: </w:t>
      </w:r>
    </w:p>
    <w:p w14:paraId="615E60E4" w14:textId="77777777" w:rsidR="00E54DF2" w:rsidRDefault="00B61D90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Проблема переполненности цифрового пространства типовым контентом, что подчеркивает необходимость развития более оригинального и выразительного контента, создаваемого людьми. </w:t>
      </w:r>
    </w:p>
    <w:p w14:paraId="615E60E5" w14:textId="77777777" w:rsidR="00E54DF2" w:rsidRDefault="00B61D90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Недостаток освоения технологических ресурсов у специалистов, занимающихся визуальными креативами в компаниях. Это требует дополнительной подготовки и освоения новых технологий для повышения профессионального уровня работников области. </w:t>
      </w:r>
    </w:p>
    <w:p w14:paraId="615E60E6" w14:textId="77777777" w:rsidR="00E54DF2" w:rsidRDefault="00B61D90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Отсутствие связей между внедрением искусственного интеллекта в визуальные коммуникации и его использованием в медиапланировании может снижать эффективность внедрения этой технологии в процесс производства контента в целом. </w:t>
      </w:r>
    </w:p>
    <w:p w14:paraId="615E60E7" w14:textId="77777777" w:rsidR="00E54DF2" w:rsidRDefault="00B61D90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Вопрос об авторских правах на произведения, созданные автономно или с помощью искусственного интеллекта, что, в свою очередь, требует дальнейшего изучения и разработки законодательства для эффективного урегулирования прав интеллектуальной собственности в таких случаях.</w:t>
      </w:r>
    </w:p>
    <w:p w14:paraId="615E60E8" w14:textId="77777777" w:rsidR="00E54DF2" w:rsidRDefault="00B61D9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Таким образом, для успешной интеграции искусственного интеллекта в создание визуальных креативов необходимо акцентировать внимание на оригинальности контента, подготовке специалистов, укреплении связей между различными областями применения </w:t>
      </w:r>
      <w:proofErr w:type="spellStart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нейромоделей</w:t>
      </w:r>
      <w:proofErr w:type="spellEnd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в сфере создания и дистрибуции визуального контента.</w:t>
      </w:r>
    </w:p>
    <w:p w14:paraId="615E60E9" w14:textId="77777777" w:rsidR="00E54DF2" w:rsidRDefault="00E54DF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14:paraId="615E60EA" w14:textId="77777777" w:rsidR="00E54DF2" w:rsidRDefault="00B61D90" w:rsidP="00B61D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Использованные источники: </w:t>
      </w:r>
    </w:p>
    <w:p w14:paraId="615E60EB" w14:textId="77FBDB6C" w:rsidR="00E54DF2" w:rsidRDefault="00B61D90" w:rsidP="00B61D9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Шевченко </w:t>
      </w:r>
      <w:r w:rsidR="00E16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В. Э.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Визуальные коммуникации: тенденции форм и технологий передачи информации // Вестник ЧелГУ. 2015. №5 (360). URL: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https://cyberleninka.ru/article/n/vizualnye-kommunikatsii-tendentsii-form-i-tehnologiy-peredachi-informatsii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(дата обращения: 14.02.2024).</w:t>
      </w:r>
    </w:p>
    <w:p w14:paraId="615E60EC" w14:textId="52FF000B" w:rsidR="00E54DF2" w:rsidRDefault="00B61D90" w:rsidP="00B61D9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Шестерина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4FD">
        <w:rPr>
          <w:rFonts w:ascii="Times New Roman" w:eastAsia="Times New Roman" w:hAnsi="Times New Roman" w:cs="Times New Roman"/>
          <w:sz w:val="24"/>
          <w:szCs w:val="24"/>
          <w:lang w:val="ru-RU"/>
        </w:rPr>
        <w:t>А.М. Влияние технологий искусственного интеллекта на видеопроизводство в сфере продвижения сетевого контента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// Вестник ЮУрГУ. Серия: Социально-гуманитарные науки. 2022. №1. URL: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https://cyberleninka.ru/article/n/vliyanie-tehnologiy-iskusstvennogo-intellekta-na-videoproizvodstvo-v-sfere-prodvizheniya-setevogo-kontenta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14.02.2024).</w:t>
      </w:r>
    </w:p>
    <w:p w14:paraId="615E60ED" w14:textId="12409BBF" w:rsidR="00E54DF2" w:rsidRDefault="00B61D90" w:rsidP="00B61D9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Коврижных</w:t>
      </w:r>
      <w:r w:rsidR="00E164FD" w:rsidRPr="00E16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4FD">
        <w:rPr>
          <w:rFonts w:ascii="Times New Roman" w:eastAsia="Times New Roman" w:hAnsi="Times New Roman" w:cs="Times New Roman"/>
          <w:sz w:val="24"/>
          <w:szCs w:val="24"/>
        </w:rPr>
        <w:t>О.Е.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Коврижных </w:t>
      </w:r>
      <w:r w:rsidR="00E164FD">
        <w:rPr>
          <w:rFonts w:ascii="Times New Roman" w:eastAsia="Times New Roman" w:hAnsi="Times New Roman" w:cs="Times New Roman"/>
          <w:sz w:val="24"/>
          <w:szCs w:val="24"/>
        </w:rPr>
        <w:t xml:space="preserve">Л.И.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Start"/>
      <w:r w:rsidR="00E164FD">
        <w:rPr>
          <w:rFonts w:ascii="Times New Roman" w:eastAsia="Times New Roman" w:hAnsi="Times New Roman" w:cs="Times New Roman"/>
          <w:sz w:val="24"/>
          <w:szCs w:val="24"/>
          <w:lang w:val="ru-RU"/>
        </w:rPr>
        <w:t>еймификация</w:t>
      </w:r>
      <w:proofErr w:type="spellEnd"/>
      <w:r w:rsidR="00E16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онтента как инструмент продвижения бизнеса в социальных сетях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// Вестник Академии знаний. 2021. №6 (47). URL: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https://cyberleninka.ru/article/n/geymifikatsiya-kontenta-kak-instrument-prodvizheniya-biznesa-v-sotsialnyh-setyah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14.02.2024).</w:t>
      </w:r>
    </w:p>
    <w:sectPr w:rsidR="00E54DF2" w:rsidSect="00FE6839">
      <w:headerReference w:type="default" r:id="rId10"/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E60F3" w14:textId="77777777" w:rsidR="00B61D90" w:rsidRDefault="00B61D90">
      <w:pPr>
        <w:spacing w:line="240" w:lineRule="auto"/>
      </w:pPr>
      <w:r>
        <w:separator/>
      </w:r>
    </w:p>
  </w:endnote>
  <w:endnote w:type="continuationSeparator" w:id="0">
    <w:p w14:paraId="615E60F5" w14:textId="77777777" w:rsidR="00B61D90" w:rsidRDefault="00B61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E60EF" w14:textId="77777777" w:rsidR="00B61D90" w:rsidRDefault="00B61D90">
      <w:pPr>
        <w:spacing w:line="240" w:lineRule="auto"/>
      </w:pPr>
      <w:r>
        <w:separator/>
      </w:r>
    </w:p>
  </w:footnote>
  <w:footnote w:type="continuationSeparator" w:id="0">
    <w:p w14:paraId="615E60F1" w14:textId="77777777" w:rsidR="00B61D90" w:rsidRDefault="00B61D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E60EE" w14:textId="77777777" w:rsidR="00E54DF2" w:rsidRDefault="00E54D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36BF4"/>
    <w:multiLevelType w:val="multilevel"/>
    <w:tmpl w:val="9AB0FBC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7CB61C07"/>
    <w:multiLevelType w:val="multilevel"/>
    <w:tmpl w:val="BEBCB8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92860021">
    <w:abstractNumId w:val="1"/>
  </w:num>
  <w:num w:numId="2" w16cid:durableId="50609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F2"/>
    <w:rsid w:val="00B61D90"/>
    <w:rsid w:val="00E164FD"/>
    <w:rsid w:val="00E54DF2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60DF"/>
  <w15:docId w15:val="{B38C81D0-34B7-490D-9EF3-D86F3BAF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vliyanie-tehnologiy-iskusstvennogo-intellekta-na-videoproizvodstvo-v-sfere-prodvizheniya-setevogo-konten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vizualnye-kommunikatsii-tendentsii-form-i-tehnologiy-peredachi-informatsi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geymifikatsiya-kontenta-kak-instrument-prodvizheniya-biznesa-v-sotsialnyh-sety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1022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Zuykina</cp:lastModifiedBy>
  <cp:revision>4</cp:revision>
  <dcterms:created xsi:type="dcterms:W3CDTF">2024-05-03T16:24:00Z</dcterms:created>
  <dcterms:modified xsi:type="dcterms:W3CDTF">2024-05-03T16:28:00Z</dcterms:modified>
</cp:coreProperties>
</file>